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4E189">
      <w:pPr>
        <w:pStyle w:val="5"/>
        <w:spacing w:line="600" w:lineRule="exact"/>
        <w:ind w:left="0" w:leftChars="0"/>
        <w:jc w:val="center"/>
        <w:rPr>
          <w:rFonts w:ascii="方正小标宋_GBK" w:hAnsi="方正小标宋_GBK" w:eastAsia="方正小标宋_GBK" w:cs="方正小标宋_GBK"/>
          <w:b/>
          <w:sz w:val="48"/>
          <w:szCs w:val="48"/>
        </w:rPr>
      </w:pPr>
      <w:bookmarkStart w:id="1" w:name="_GoBack"/>
      <w:bookmarkEnd w:id="1"/>
    </w:p>
    <w:p w14:paraId="57E3BDC8">
      <w:pPr>
        <w:pStyle w:val="5"/>
        <w:spacing w:line="600" w:lineRule="exact"/>
        <w:ind w:left="0" w:leftChars="0"/>
        <w:jc w:val="center"/>
        <w:rPr>
          <w:rFonts w:ascii="方正小标宋_GBK" w:hAnsi="方正小标宋_GBK" w:eastAsia="方正小标宋_GBK" w:cs="方正小标宋_GBK"/>
          <w:b w:val="0"/>
          <w:bCs/>
          <w:sz w:val="48"/>
          <w:szCs w:val="48"/>
        </w:rPr>
      </w:pPr>
      <w:r>
        <w:rPr>
          <w:rFonts w:hint="eastAsia" w:ascii="方正小标宋_GBK" w:hAnsi="方正小标宋_GBK" w:eastAsia="方正小标宋_GBK" w:cs="方正小标宋_GBK"/>
          <w:b w:val="0"/>
          <w:bCs/>
          <w:sz w:val="48"/>
          <w:szCs w:val="48"/>
        </w:rPr>
        <w:t>衡阳市发展投资集团有限公司食堂油烟设备、化粪池（沉油池）定期清理及杀虫灭害服务单位比选</w:t>
      </w:r>
    </w:p>
    <w:p w14:paraId="10472D8F">
      <w:pPr>
        <w:pStyle w:val="5"/>
        <w:spacing w:line="480" w:lineRule="exact"/>
        <w:ind w:left="0" w:leftChars="0"/>
        <w:jc w:val="center"/>
        <w:rPr>
          <w:rFonts w:ascii="方正小标宋_GBK" w:hAnsi="方正小标宋_GBK" w:eastAsia="方正小标宋_GBK" w:cs="方正小标宋_GBK"/>
          <w:b/>
          <w:sz w:val="48"/>
          <w:szCs w:val="48"/>
        </w:rPr>
      </w:pPr>
    </w:p>
    <w:p w14:paraId="7D5819C1">
      <w:pPr>
        <w:pStyle w:val="6"/>
      </w:pPr>
    </w:p>
    <w:p w14:paraId="16979B7F">
      <w:pPr>
        <w:pStyle w:val="5"/>
        <w:spacing w:line="480" w:lineRule="exact"/>
        <w:ind w:left="0" w:leftChars="0"/>
        <w:jc w:val="center"/>
        <w:rPr>
          <w:rFonts w:ascii="方正小标宋_GBK" w:hAnsi="方正小标宋_GBK" w:eastAsia="方正小标宋_GBK" w:cs="方正小标宋_GBK"/>
          <w:b/>
          <w:sz w:val="48"/>
          <w:szCs w:val="48"/>
        </w:rPr>
      </w:pPr>
    </w:p>
    <w:p w14:paraId="39AAE430">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0A7A15DE">
      <w:pPr>
        <w:pStyle w:val="8"/>
        <w:ind w:firstLine="961"/>
        <w:rPr>
          <w:rFonts w:ascii="方正小标宋_GBK" w:hAnsi="方正小标宋_GBK" w:eastAsia="方正小标宋_GBK" w:cs="方正小标宋_GBK"/>
          <w:b/>
          <w:color w:val="auto"/>
          <w:kern w:val="2"/>
          <w:sz w:val="48"/>
          <w:szCs w:val="48"/>
        </w:rPr>
      </w:pPr>
    </w:p>
    <w:p w14:paraId="22EAB278">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6976567E">
      <w:pPr>
        <w:pStyle w:val="8"/>
        <w:ind w:firstLine="961"/>
        <w:rPr>
          <w:rFonts w:ascii="方正小标宋_GBK" w:hAnsi="方正小标宋_GBK" w:eastAsia="方正小标宋_GBK" w:cs="方正小标宋_GBK"/>
          <w:b/>
          <w:color w:val="auto"/>
          <w:kern w:val="2"/>
          <w:sz w:val="48"/>
          <w:szCs w:val="48"/>
        </w:rPr>
      </w:pPr>
    </w:p>
    <w:p w14:paraId="37323FA5">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171575A6">
      <w:pPr>
        <w:pStyle w:val="8"/>
        <w:ind w:firstLine="961"/>
        <w:rPr>
          <w:rFonts w:ascii="方正小标宋_GBK" w:hAnsi="方正小标宋_GBK" w:eastAsia="方正小标宋_GBK" w:cs="方正小标宋_GBK"/>
          <w:b/>
          <w:color w:val="auto"/>
          <w:kern w:val="2"/>
          <w:sz w:val="48"/>
          <w:szCs w:val="48"/>
        </w:rPr>
      </w:pPr>
    </w:p>
    <w:p w14:paraId="1B02A99D">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3CA562E3">
      <w:pPr>
        <w:pStyle w:val="8"/>
        <w:ind w:firstLine="0" w:firstLineChars="0"/>
      </w:pPr>
    </w:p>
    <w:p w14:paraId="680A6CD0">
      <w:pPr>
        <w:pStyle w:val="5"/>
        <w:adjustRightInd w:val="0"/>
        <w:snapToGrid w:val="0"/>
        <w:spacing w:before="156" w:beforeLines="50" w:line="480" w:lineRule="exact"/>
        <w:ind w:left="0" w:leftChars="0"/>
        <w:rPr>
          <w:rFonts w:ascii="宋体" w:hAnsi="宋体" w:cs="宋体"/>
          <w:b/>
          <w:sz w:val="40"/>
          <w:szCs w:val="32"/>
        </w:rPr>
      </w:pPr>
    </w:p>
    <w:p w14:paraId="780BE4E6">
      <w:pPr>
        <w:pStyle w:val="6"/>
        <w:rPr>
          <w:rFonts w:ascii="宋体" w:hAnsi="宋体" w:cs="宋体"/>
          <w:b/>
          <w:sz w:val="40"/>
          <w:szCs w:val="32"/>
        </w:rPr>
      </w:pPr>
    </w:p>
    <w:p w14:paraId="1D2B5A57">
      <w:pPr>
        <w:pStyle w:val="6"/>
        <w:rPr>
          <w:rFonts w:ascii="宋体" w:hAnsi="宋体" w:cs="宋体"/>
          <w:b/>
          <w:sz w:val="40"/>
          <w:szCs w:val="32"/>
        </w:rPr>
      </w:pPr>
    </w:p>
    <w:p w14:paraId="26824BDB">
      <w:pPr>
        <w:pStyle w:val="6"/>
        <w:rPr>
          <w:rFonts w:ascii="宋体" w:hAnsi="宋体" w:cs="宋体"/>
          <w:b/>
          <w:sz w:val="40"/>
          <w:szCs w:val="32"/>
        </w:rPr>
      </w:pPr>
    </w:p>
    <w:p w14:paraId="3352F610">
      <w:pPr>
        <w:pStyle w:val="5"/>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衡阳市发展投资集团有限公司</w:t>
      </w:r>
    </w:p>
    <w:p w14:paraId="7F04CD7C">
      <w:pPr>
        <w:pStyle w:val="5"/>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二〇二四年十一月</w:t>
      </w:r>
    </w:p>
    <w:p w14:paraId="4433667E">
      <w:pPr>
        <w:pStyle w:val="7"/>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314F35F4">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3A80B648">
      <w:pPr>
        <w:tabs>
          <w:tab w:val="left" w:leader="middleDot" w:pos="0"/>
          <w:tab w:val="right" w:leader="dot" w:pos="8820"/>
        </w:tabs>
        <w:adjustRightInd w:val="0"/>
        <w:snapToGrid w:val="0"/>
        <w:spacing w:line="480" w:lineRule="exact"/>
        <w:jc w:val="center"/>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4</w:t>
      </w:r>
    </w:p>
    <w:p w14:paraId="0B1AA1CF">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评选流程</w:t>
      </w:r>
      <w:r>
        <w:rPr>
          <w:rFonts w:hint="eastAsia" w:ascii="宋体" w:hAnsi="宋体"/>
          <w:spacing w:val="10"/>
          <w:sz w:val="24"/>
        </w:rPr>
        <w:tab/>
      </w:r>
      <w:r>
        <w:rPr>
          <w:rFonts w:hint="eastAsia" w:ascii="宋体" w:hAnsi="宋体"/>
          <w:b/>
          <w:bCs/>
          <w:spacing w:val="10"/>
          <w:sz w:val="24"/>
        </w:rPr>
        <w:t>18</w:t>
      </w:r>
    </w:p>
    <w:p w14:paraId="546B485C">
      <w:pPr>
        <w:tabs>
          <w:tab w:val="left" w:leader="middleDot" w:pos="0"/>
          <w:tab w:val="right" w:leader="dot" w:pos="8820"/>
        </w:tabs>
        <w:adjustRightInd w:val="0"/>
        <w:snapToGrid w:val="0"/>
        <w:spacing w:line="480" w:lineRule="exact"/>
        <w:jc w:val="center"/>
        <w:rPr>
          <w:rFonts w:ascii="宋体" w:hAnsi="宋体"/>
          <w:b/>
          <w:bCs/>
          <w:spacing w:val="10"/>
          <w:sz w:val="24"/>
        </w:rPr>
      </w:pPr>
    </w:p>
    <w:p w14:paraId="0AC82D33">
      <w:pPr>
        <w:pStyle w:val="12"/>
        <w:spacing w:line="480" w:lineRule="exact"/>
        <w:rPr>
          <w:rFonts w:ascii="宋体" w:hAnsi="宋体"/>
          <w:b/>
          <w:bCs/>
          <w:kern w:val="0"/>
          <w:sz w:val="28"/>
          <w:szCs w:val="28"/>
        </w:rPr>
      </w:pPr>
    </w:p>
    <w:p w14:paraId="1064B69A">
      <w:pPr>
        <w:spacing w:line="480" w:lineRule="exact"/>
        <w:rPr>
          <w:rFonts w:ascii="宋体" w:hAnsi="宋体"/>
          <w:b/>
          <w:bCs/>
          <w:kern w:val="0"/>
          <w:sz w:val="28"/>
          <w:szCs w:val="28"/>
        </w:rPr>
      </w:pPr>
    </w:p>
    <w:p w14:paraId="25D4251D">
      <w:pPr>
        <w:pStyle w:val="4"/>
        <w:spacing w:line="480" w:lineRule="exact"/>
        <w:rPr>
          <w:rFonts w:ascii="宋体" w:hAnsi="宋体"/>
          <w:b/>
          <w:bCs/>
          <w:kern w:val="0"/>
          <w:sz w:val="28"/>
          <w:szCs w:val="28"/>
        </w:rPr>
      </w:pPr>
    </w:p>
    <w:p w14:paraId="7C77AFF2">
      <w:pPr>
        <w:pStyle w:val="12"/>
        <w:spacing w:line="480" w:lineRule="exact"/>
        <w:rPr>
          <w:rFonts w:ascii="宋体" w:hAnsi="宋体"/>
          <w:b/>
          <w:bCs/>
          <w:kern w:val="0"/>
          <w:sz w:val="28"/>
          <w:szCs w:val="28"/>
        </w:rPr>
      </w:pPr>
    </w:p>
    <w:p w14:paraId="3DC9211D">
      <w:pPr>
        <w:spacing w:line="480" w:lineRule="exact"/>
        <w:rPr>
          <w:rFonts w:ascii="宋体" w:hAnsi="宋体"/>
          <w:b/>
          <w:bCs/>
          <w:kern w:val="0"/>
          <w:sz w:val="28"/>
          <w:szCs w:val="28"/>
        </w:rPr>
      </w:pPr>
    </w:p>
    <w:p w14:paraId="2E1B424D">
      <w:pPr>
        <w:pStyle w:val="4"/>
        <w:spacing w:line="480" w:lineRule="exact"/>
        <w:rPr>
          <w:rFonts w:ascii="宋体" w:hAnsi="宋体"/>
          <w:b/>
          <w:bCs/>
          <w:kern w:val="0"/>
          <w:sz w:val="28"/>
          <w:szCs w:val="28"/>
        </w:rPr>
      </w:pPr>
    </w:p>
    <w:p w14:paraId="28973061">
      <w:pPr>
        <w:pStyle w:val="12"/>
        <w:spacing w:line="480" w:lineRule="exact"/>
        <w:rPr>
          <w:rFonts w:ascii="宋体" w:hAnsi="宋体"/>
          <w:b/>
          <w:bCs/>
          <w:kern w:val="0"/>
          <w:sz w:val="28"/>
          <w:szCs w:val="28"/>
        </w:rPr>
      </w:pPr>
    </w:p>
    <w:p w14:paraId="3641B93D">
      <w:pPr>
        <w:spacing w:line="480" w:lineRule="exact"/>
        <w:rPr>
          <w:rFonts w:ascii="宋体" w:hAnsi="宋体"/>
          <w:b/>
          <w:bCs/>
          <w:kern w:val="0"/>
          <w:sz w:val="28"/>
          <w:szCs w:val="28"/>
        </w:rPr>
      </w:pPr>
    </w:p>
    <w:p w14:paraId="542A132D">
      <w:pPr>
        <w:pStyle w:val="4"/>
        <w:spacing w:line="480" w:lineRule="exact"/>
        <w:rPr>
          <w:rFonts w:ascii="宋体" w:hAnsi="宋体"/>
          <w:b/>
          <w:bCs/>
          <w:kern w:val="0"/>
          <w:sz w:val="28"/>
          <w:szCs w:val="28"/>
        </w:rPr>
      </w:pPr>
    </w:p>
    <w:p w14:paraId="57F54E49">
      <w:pPr>
        <w:pStyle w:val="12"/>
        <w:spacing w:line="480" w:lineRule="exact"/>
        <w:rPr>
          <w:rFonts w:ascii="宋体" w:hAnsi="宋体"/>
          <w:b/>
          <w:bCs/>
          <w:kern w:val="0"/>
          <w:sz w:val="28"/>
          <w:szCs w:val="28"/>
        </w:rPr>
      </w:pPr>
    </w:p>
    <w:p w14:paraId="31A495DB">
      <w:pPr>
        <w:spacing w:line="480" w:lineRule="exact"/>
        <w:rPr>
          <w:rFonts w:ascii="宋体" w:hAnsi="宋体"/>
          <w:b/>
          <w:bCs/>
          <w:kern w:val="0"/>
          <w:sz w:val="28"/>
          <w:szCs w:val="28"/>
        </w:rPr>
      </w:pPr>
    </w:p>
    <w:p w14:paraId="6311942C">
      <w:pPr>
        <w:pStyle w:val="4"/>
        <w:spacing w:line="480" w:lineRule="exact"/>
        <w:rPr>
          <w:rFonts w:ascii="宋体" w:hAnsi="宋体"/>
          <w:b/>
          <w:bCs/>
          <w:kern w:val="0"/>
          <w:sz w:val="28"/>
          <w:szCs w:val="28"/>
        </w:rPr>
      </w:pPr>
    </w:p>
    <w:p w14:paraId="2B0DBD18">
      <w:pPr>
        <w:spacing w:line="480" w:lineRule="exact"/>
      </w:pPr>
    </w:p>
    <w:p w14:paraId="2F42D19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F48FE1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022CE83">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B91DA0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B27684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4D8651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0E9185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8ACEC2B">
      <w:pPr>
        <w:adjustRightInd w:val="0"/>
        <w:snapToGrid w:val="0"/>
        <w:spacing w:line="480" w:lineRule="exact"/>
        <w:rPr>
          <w:rFonts w:ascii="黑体" w:hAnsi="黑体" w:eastAsia="黑体" w:cs="黑体"/>
          <w:b/>
          <w:bCs/>
          <w:sz w:val="36"/>
          <w:szCs w:val="36"/>
          <w:shd w:val="clear" w:color="auto" w:fill="FFFFFF"/>
        </w:rPr>
      </w:pPr>
    </w:p>
    <w:p w14:paraId="72AFEEBE">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8" w:type="default"/>
          <w:pgSz w:w="11906" w:h="16838"/>
          <w:pgMar w:top="1440" w:right="1800" w:bottom="1440" w:left="1800" w:header="851" w:footer="992" w:gutter="0"/>
          <w:cols w:space="425" w:num="1"/>
          <w:docGrid w:type="lines" w:linePitch="312" w:charSpace="0"/>
        </w:sectPr>
      </w:pPr>
    </w:p>
    <w:p w14:paraId="71EDF19F">
      <w:pPr>
        <w:adjustRightInd w:val="0"/>
        <w:snapToGrid w:val="0"/>
        <w:spacing w:line="560" w:lineRule="exact"/>
        <w:jc w:val="center"/>
      </w:pPr>
      <w:r>
        <w:rPr>
          <w:rFonts w:hint="eastAsia" w:ascii="黑体" w:hAnsi="黑体" w:eastAsia="黑体" w:cs="黑体"/>
          <w:b/>
          <w:bCs/>
          <w:sz w:val="40"/>
          <w:szCs w:val="40"/>
          <w:shd w:val="clear" w:color="auto" w:fill="FFFFFF"/>
        </w:rPr>
        <w:t>第一章  比选公告</w:t>
      </w:r>
    </w:p>
    <w:p w14:paraId="12FAC13A">
      <w:pPr>
        <w:adjustRightInd w:val="0"/>
        <w:snapToGrid w:val="0"/>
        <w:spacing w:line="560" w:lineRule="exact"/>
        <w:ind w:firstLine="643" w:firstLineChars="200"/>
        <w:jc w:val="left"/>
        <w:rPr>
          <w:rStyle w:val="18"/>
          <w:rFonts w:ascii="黑体" w:hAnsi="黑体" w:eastAsia="黑体" w:cs="黑体"/>
          <w:sz w:val="32"/>
          <w:szCs w:val="32"/>
          <w:shd w:val="clear" w:color="auto" w:fill="FFFFFF"/>
        </w:rPr>
      </w:pPr>
    </w:p>
    <w:p w14:paraId="2EA4CCE4">
      <w:pPr>
        <w:widowControl/>
        <w:autoSpaceDE w:val="0"/>
        <w:autoSpaceDN w:val="0"/>
        <w:adjustRightInd w:val="0"/>
        <w:snapToGrid w:val="0"/>
        <w:spacing w:line="560" w:lineRule="exact"/>
        <w:textAlignment w:val="baseline"/>
        <w:outlineLvl w:val="0"/>
        <w:rPr>
          <w:rFonts w:eastAsia="黑体"/>
          <w:sz w:val="32"/>
          <w:szCs w:val="32"/>
        </w:rPr>
      </w:pPr>
      <w:r>
        <w:rPr>
          <w:rFonts w:eastAsia="黑体"/>
          <w:sz w:val="32"/>
          <w:szCs w:val="32"/>
        </w:rPr>
        <w:t>一、项目概况</w:t>
      </w:r>
    </w:p>
    <w:p w14:paraId="41A394D3">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1.比选单位：衡阳市发展投资集团有限公司</w:t>
      </w:r>
    </w:p>
    <w:p w14:paraId="20CC8883">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2.项目名称：衡阳市发展投资集团有限公司食堂油烟机清洗、化粪池（沉油池）清掏及杀虫灭害服务单位比选</w:t>
      </w:r>
    </w:p>
    <w:p w14:paraId="32B9E438">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3.项目地点：湖南省衡阳市高新技术产业开发区三江路15号。</w:t>
      </w:r>
    </w:p>
    <w:p w14:paraId="528B6584">
      <w:pPr>
        <w:widowControl/>
        <w:autoSpaceDE w:val="0"/>
        <w:autoSpaceDN w:val="0"/>
        <w:adjustRightInd w:val="0"/>
        <w:snapToGrid w:val="0"/>
        <w:spacing w:line="560" w:lineRule="exact"/>
        <w:textAlignment w:val="baseline"/>
        <w:outlineLvl w:val="0"/>
        <w:rPr>
          <w:rFonts w:eastAsia="黑体"/>
          <w:sz w:val="32"/>
          <w:szCs w:val="32"/>
        </w:rPr>
      </w:pPr>
      <w:r>
        <w:rPr>
          <w:rFonts w:eastAsia="黑体"/>
          <w:sz w:val="32"/>
          <w:szCs w:val="32"/>
        </w:rPr>
        <w:t>二、服务内容</w:t>
      </w:r>
    </w:p>
    <w:p w14:paraId="2BB7ED62">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根据食堂卫生安全标准、卫生清洁要求，清洗排油烟管道、上下内排油烟罩面、排油烟口、风机、烟道、厨房器具等厨房设施；清运食堂油水分离器；化粪池（沉油池）清掏；对厨房的材料存放区、食材存放区、烹饪制作区、食材加工区、废料回收区、油污处理区以及食堂就餐区域的虫鼠蝇蚊等有害生物进行消杀、灭活处理，保证食品安全卫生环境。</w:t>
      </w:r>
    </w:p>
    <w:p w14:paraId="17450EE1">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三．控制价及相关要求</w:t>
      </w:r>
    </w:p>
    <w:p w14:paraId="096EDD64">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本项目设置比选最高控制价为4万元/年。（食堂油烟机清洗、化粪池（沉油池）清掏约8000元/次*4；杀虫灭害根据实际情况按每平米计价）</w:t>
      </w:r>
    </w:p>
    <w:p w14:paraId="2DFDDAB2">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四、</w:t>
      </w:r>
      <w:r>
        <w:rPr>
          <w:rFonts w:eastAsia="黑体"/>
          <w:sz w:val="32"/>
          <w:szCs w:val="32"/>
        </w:rPr>
        <w:t>资格要求</w:t>
      </w:r>
    </w:p>
    <w:p w14:paraId="0BAC798C">
      <w:pPr>
        <w:widowControl/>
        <w:autoSpaceDE w:val="0"/>
        <w:autoSpaceDN w:val="0"/>
        <w:adjustRightInd w:val="0"/>
        <w:snapToGrid w:val="0"/>
        <w:spacing w:line="560" w:lineRule="exact"/>
        <w:ind w:firstLine="640" w:firstLineChars="200"/>
        <w:textAlignment w:val="baseline"/>
        <w:outlineLvl w:val="0"/>
        <w:rPr>
          <w:rFonts w:eastAsia="方正仿宋_GB2312"/>
          <w:sz w:val="32"/>
          <w:szCs w:val="32"/>
        </w:rPr>
      </w:pPr>
      <w:r>
        <w:rPr>
          <w:rFonts w:hint="eastAsia" w:eastAsia="方正仿宋_GB2312"/>
          <w:sz w:val="32"/>
          <w:szCs w:val="32"/>
        </w:rPr>
        <w:t>1.参选单位具有独立承担民事责任能力法人资格，并依法取得营业执照（营业执照应在有效期内）。</w:t>
      </w:r>
    </w:p>
    <w:p w14:paraId="6DDD2B51">
      <w:pPr>
        <w:widowControl/>
        <w:autoSpaceDE w:val="0"/>
        <w:autoSpaceDN w:val="0"/>
        <w:adjustRightInd w:val="0"/>
        <w:snapToGrid w:val="0"/>
        <w:spacing w:line="560" w:lineRule="exact"/>
        <w:ind w:firstLine="640" w:firstLineChars="200"/>
        <w:textAlignment w:val="baseline"/>
        <w:outlineLvl w:val="0"/>
        <w:rPr>
          <w:rFonts w:hint="eastAsia" w:eastAsia="方正仿宋_GB2312"/>
          <w:sz w:val="32"/>
          <w:szCs w:val="32"/>
        </w:rPr>
      </w:pPr>
      <w:r>
        <w:rPr>
          <w:rFonts w:hint="eastAsia" w:eastAsia="方正仿宋_GB2312"/>
          <w:sz w:val="32"/>
          <w:szCs w:val="32"/>
        </w:rPr>
        <w:t>2.参选单位近三年内，在经营活动中无不良行为记录。</w:t>
      </w:r>
    </w:p>
    <w:p w14:paraId="04B7569F">
      <w:pPr>
        <w:widowControl/>
        <w:autoSpaceDE w:val="0"/>
        <w:autoSpaceDN w:val="0"/>
        <w:adjustRightInd w:val="0"/>
        <w:snapToGrid w:val="0"/>
        <w:spacing w:line="560" w:lineRule="exact"/>
        <w:ind w:firstLine="640" w:firstLineChars="200"/>
        <w:textAlignment w:val="baseline"/>
        <w:outlineLvl w:val="0"/>
        <w:rPr>
          <w:rFonts w:eastAsia="方正仿宋_GB2312"/>
          <w:sz w:val="32"/>
          <w:szCs w:val="32"/>
        </w:rPr>
      </w:pPr>
      <w:r>
        <w:rPr>
          <w:rFonts w:hint="eastAsia" w:eastAsia="方正仿宋_GB2312"/>
          <w:sz w:val="32"/>
          <w:szCs w:val="32"/>
        </w:rPr>
        <w:t>3.参选单位从2021年1月1日至2024年10月31日须至少具备1项同类业绩。</w:t>
      </w:r>
    </w:p>
    <w:p w14:paraId="61BF4EF5">
      <w:pPr>
        <w:widowControl/>
        <w:autoSpaceDE w:val="0"/>
        <w:autoSpaceDN w:val="0"/>
        <w:adjustRightInd w:val="0"/>
        <w:snapToGrid w:val="0"/>
        <w:spacing w:line="560" w:lineRule="exact"/>
        <w:ind w:firstLine="640" w:firstLineChars="200"/>
        <w:textAlignment w:val="baseline"/>
        <w:outlineLvl w:val="0"/>
        <w:rPr>
          <w:rFonts w:eastAsia="方正仿宋_GB2312"/>
          <w:sz w:val="32"/>
          <w:szCs w:val="32"/>
        </w:rPr>
      </w:pPr>
      <w:r>
        <w:rPr>
          <w:rFonts w:hint="eastAsia" w:eastAsia="方正仿宋_GB2312"/>
          <w:sz w:val="32"/>
          <w:szCs w:val="32"/>
        </w:rPr>
        <w:t>同类业绩界定：油烟管道等厨房设施清洗、油水分离器（隔油池）清运、化粪池清掏以及杀虫灭害的服务业绩。参选单位应独立完成并提供至少1份完整版合同复印件（可提供多份合同），并能明确体现出用于判断同类项目业绩的相关信息，业绩时间以合同签订时间为准。</w:t>
      </w:r>
    </w:p>
    <w:p w14:paraId="126A246B">
      <w:pPr>
        <w:widowControl/>
        <w:autoSpaceDE w:val="0"/>
        <w:autoSpaceDN w:val="0"/>
        <w:adjustRightInd w:val="0"/>
        <w:snapToGrid w:val="0"/>
        <w:spacing w:line="560" w:lineRule="exact"/>
        <w:ind w:firstLine="640" w:firstLineChars="200"/>
        <w:textAlignment w:val="baseline"/>
        <w:outlineLvl w:val="0"/>
        <w:rPr>
          <w:rFonts w:eastAsia="方正仿宋_GB2312"/>
          <w:sz w:val="32"/>
          <w:szCs w:val="32"/>
        </w:rPr>
      </w:pPr>
      <w:r>
        <w:rPr>
          <w:rFonts w:hint="eastAsia" w:eastAsia="方正仿宋_GB2312"/>
          <w:sz w:val="32"/>
          <w:szCs w:val="32"/>
        </w:rPr>
        <w:t>4.本项目不接受联合体参加。</w:t>
      </w:r>
    </w:p>
    <w:p w14:paraId="16DB1DFB">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五</w:t>
      </w:r>
      <w:r>
        <w:rPr>
          <w:rFonts w:eastAsia="黑体"/>
          <w:sz w:val="32"/>
          <w:szCs w:val="32"/>
        </w:rPr>
        <w:t>、比选文件的获取</w:t>
      </w:r>
    </w:p>
    <w:p w14:paraId="2E8239F8">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凡有意参加比选的符合条件的比选单位，2024年</w:t>
      </w:r>
      <w:r>
        <w:rPr>
          <w:rFonts w:hint="eastAsia" w:eastAsia="方正仿宋_GB2312"/>
          <w:sz w:val="32"/>
          <w:szCs w:val="32"/>
          <w:lang w:val="en-US" w:eastAsia="zh-CN"/>
        </w:rPr>
        <w:t>11</w:t>
      </w:r>
      <w:r>
        <w:rPr>
          <w:rFonts w:hint="eastAsia" w:eastAsia="方正仿宋_GB2312"/>
          <w:sz w:val="32"/>
          <w:szCs w:val="32"/>
        </w:rPr>
        <w:t>月</w:t>
      </w:r>
      <w:r>
        <w:rPr>
          <w:rFonts w:hint="eastAsia" w:eastAsia="方正仿宋_GB2312"/>
          <w:sz w:val="32"/>
          <w:szCs w:val="32"/>
          <w:lang w:val="en-US" w:eastAsia="zh-CN"/>
        </w:rPr>
        <w:t>18</w:t>
      </w:r>
      <w:r>
        <w:rPr>
          <w:rFonts w:hint="eastAsia" w:eastAsia="方正仿宋_GB2312"/>
          <w:sz w:val="32"/>
          <w:szCs w:val="32"/>
        </w:rPr>
        <w:t xml:space="preserve">    日至2024年</w:t>
      </w:r>
      <w:r>
        <w:rPr>
          <w:rFonts w:hint="eastAsia" w:eastAsia="方正仿宋_GB2312"/>
          <w:sz w:val="32"/>
          <w:szCs w:val="32"/>
          <w:lang w:val="en-US" w:eastAsia="zh-CN"/>
        </w:rPr>
        <w:t>11</w:t>
      </w:r>
      <w:r>
        <w:rPr>
          <w:rFonts w:hint="eastAsia" w:eastAsia="方正仿宋_GB2312"/>
          <w:sz w:val="32"/>
          <w:szCs w:val="32"/>
        </w:rPr>
        <w:t>月</w:t>
      </w:r>
      <w:r>
        <w:rPr>
          <w:rFonts w:hint="eastAsia" w:eastAsia="方正仿宋_GB2312"/>
          <w:sz w:val="32"/>
          <w:szCs w:val="32"/>
          <w:lang w:val="en-US" w:eastAsia="zh-CN"/>
        </w:rPr>
        <w:t>21</w:t>
      </w:r>
      <w:r>
        <w:rPr>
          <w:rFonts w:hint="eastAsia" w:eastAsia="方正仿宋_GB2312"/>
          <w:sz w:val="32"/>
          <w:szCs w:val="32"/>
        </w:rPr>
        <w:t>日在衡阳国有资产投资控股有限公司官方网站（www.hxamc.com）上下载比选文件，并按照比选文件要求参与比选。</w:t>
      </w:r>
    </w:p>
    <w:p w14:paraId="600B385B">
      <w:pPr>
        <w:spacing w:line="560" w:lineRule="exact"/>
        <w:rPr>
          <w:rFonts w:ascii="黑体" w:hAnsi="黑体" w:eastAsia="黑体" w:cs="黑体"/>
          <w:sz w:val="32"/>
          <w:szCs w:val="32"/>
        </w:rPr>
      </w:pPr>
      <w:r>
        <w:rPr>
          <w:rFonts w:hint="eastAsia" w:ascii="黑体" w:hAnsi="黑体" w:eastAsia="黑体" w:cs="黑体"/>
          <w:sz w:val="32"/>
          <w:szCs w:val="32"/>
        </w:rPr>
        <w:t>六、投标保证金</w:t>
      </w:r>
    </w:p>
    <w:p w14:paraId="0927DAF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本次比选不需要提供投标保证金。</w:t>
      </w:r>
    </w:p>
    <w:p w14:paraId="26E28190">
      <w:pPr>
        <w:spacing w:line="560" w:lineRule="exact"/>
        <w:rPr>
          <w:rFonts w:eastAsia="黑体"/>
          <w:snapToGrid w:val="0"/>
          <w:color w:val="000000"/>
          <w:kern w:val="0"/>
          <w:sz w:val="32"/>
          <w:szCs w:val="32"/>
        </w:rPr>
      </w:pPr>
      <w:r>
        <w:rPr>
          <w:rFonts w:hint="eastAsia" w:ascii="黑体" w:hAnsi="黑体" w:eastAsia="黑体" w:cs="黑体"/>
          <w:sz w:val="32"/>
          <w:szCs w:val="32"/>
        </w:rPr>
        <w:t>七、</w:t>
      </w:r>
      <w:r>
        <w:rPr>
          <w:rFonts w:hint="eastAsia" w:eastAsia="黑体"/>
          <w:snapToGrid w:val="0"/>
          <w:color w:val="000000"/>
          <w:kern w:val="0"/>
          <w:sz w:val="32"/>
          <w:szCs w:val="32"/>
        </w:rPr>
        <w:t>开标时间及地点</w:t>
      </w:r>
    </w:p>
    <w:p w14:paraId="6F8938B9">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本项目拟定于2024年</w:t>
      </w:r>
      <w:r>
        <w:rPr>
          <w:rFonts w:hint="eastAsia" w:eastAsia="方正仿宋_GB2312"/>
          <w:sz w:val="32"/>
          <w:szCs w:val="32"/>
          <w:lang w:val="en-US" w:eastAsia="zh-CN"/>
        </w:rPr>
        <w:t>11</w:t>
      </w:r>
      <w:r>
        <w:rPr>
          <w:rFonts w:hint="eastAsia" w:eastAsia="方正仿宋_GB2312"/>
          <w:sz w:val="32"/>
          <w:szCs w:val="32"/>
        </w:rPr>
        <w:t>月</w:t>
      </w:r>
      <w:r>
        <w:rPr>
          <w:rFonts w:hint="eastAsia" w:eastAsia="方正仿宋_GB2312"/>
          <w:sz w:val="32"/>
          <w:szCs w:val="32"/>
          <w:lang w:val="en-US" w:eastAsia="zh-CN"/>
        </w:rPr>
        <w:t>25</w:t>
      </w:r>
      <w:r>
        <w:rPr>
          <w:rFonts w:hint="eastAsia" w:eastAsia="方正仿宋_GB2312"/>
          <w:sz w:val="32"/>
          <w:szCs w:val="32"/>
        </w:rPr>
        <w:t>日</w:t>
      </w:r>
      <w:r>
        <w:rPr>
          <w:rFonts w:hint="eastAsia" w:eastAsia="方正仿宋_GB2312"/>
          <w:sz w:val="32"/>
          <w:szCs w:val="32"/>
          <w:lang w:val="en-US" w:eastAsia="zh-CN"/>
        </w:rPr>
        <w:t>上午9：00</w:t>
      </w:r>
      <w:r>
        <w:rPr>
          <w:rFonts w:hint="eastAsia" w:eastAsia="方正仿宋_GB2312"/>
          <w:sz w:val="32"/>
          <w:szCs w:val="32"/>
        </w:rPr>
        <w:t>分在衡阳国有资产投资控股有限公司4栋3楼评标室开标，如有变动将提前一天通知各参选单位。</w:t>
      </w:r>
    </w:p>
    <w:p w14:paraId="1CBC512F">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八、参选文件</w:t>
      </w:r>
      <w:r>
        <w:rPr>
          <w:rFonts w:eastAsia="黑体"/>
          <w:sz w:val="32"/>
          <w:szCs w:val="32"/>
        </w:rPr>
        <w:t>的递交</w:t>
      </w:r>
    </w:p>
    <w:p w14:paraId="6CD346AB">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身份验证核查通过的参选单位按要求填写参选文件接收登记表。</w:t>
      </w:r>
    </w:p>
    <w:p w14:paraId="11836119">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2.逾期送达的或者未送达指定地点的参选文件，比选人不予受理。</w:t>
      </w:r>
    </w:p>
    <w:p w14:paraId="61FCB7E4">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九</w:t>
      </w:r>
      <w:r>
        <w:rPr>
          <w:rFonts w:eastAsia="黑体"/>
          <w:sz w:val="32"/>
          <w:szCs w:val="32"/>
        </w:rPr>
        <w:t>、发布公告的媒介</w:t>
      </w:r>
    </w:p>
    <w:p w14:paraId="7F42456F">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本次比选公告在衡阳国有资产投资控股有限公司官方网站（www.hxamc.com）上发布。</w:t>
      </w:r>
    </w:p>
    <w:p w14:paraId="39E94F45">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十</w:t>
      </w:r>
      <w:r>
        <w:rPr>
          <w:rFonts w:eastAsia="黑体"/>
          <w:sz w:val="32"/>
          <w:szCs w:val="32"/>
        </w:rPr>
        <w:t>、联系方式</w:t>
      </w:r>
    </w:p>
    <w:p w14:paraId="36804FF5">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比 选 人：衡阳市发展投资集团有限公司</w:t>
      </w:r>
    </w:p>
    <w:p w14:paraId="1DC9AEB6">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eastAsia="方正仿宋_GB2312"/>
          <w:sz w:val="32"/>
          <w:szCs w:val="32"/>
          <w:lang w:val="en-US" w:eastAsia="zh-CN"/>
        </w:rPr>
      </w:pPr>
      <w:r>
        <w:rPr>
          <w:rFonts w:hint="eastAsia" w:eastAsia="方正仿宋_GB2312"/>
          <w:sz w:val="32"/>
          <w:szCs w:val="32"/>
        </w:rPr>
        <w:t>地    址：衡阳市高新产业技术开发区</w:t>
      </w:r>
      <w:r>
        <w:rPr>
          <w:rFonts w:hint="eastAsia" w:eastAsia="方正仿宋_GB2312"/>
          <w:sz w:val="32"/>
          <w:szCs w:val="32"/>
          <w:lang w:val="en-US" w:eastAsia="zh-CN"/>
        </w:rPr>
        <w:t>三江路15号</w:t>
      </w:r>
    </w:p>
    <w:p w14:paraId="6B88D40C">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联系人：  王女士、卢女士</w:t>
      </w:r>
    </w:p>
    <w:p w14:paraId="532818FC">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联系电话：0734-8877025、0734-8828282、0734-8888071</w:t>
      </w:r>
    </w:p>
    <w:p w14:paraId="62A0B93B">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十一</w:t>
      </w:r>
      <w:r>
        <w:rPr>
          <w:rFonts w:eastAsia="黑体"/>
          <w:sz w:val="32"/>
          <w:szCs w:val="32"/>
        </w:rPr>
        <w:t>、监督</w:t>
      </w:r>
    </w:p>
    <w:p w14:paraId="2BDAF180">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监督单位：中共衡阳国有资产投资控股有限公司纪律检查委员会</w:t>
      </w:r>
    </w:p>
    <w:p w14:paraId="51D22767">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地    址：衡阳市高新产业技术开发区（西二环）11号1栋2楼208室</w:t>
      </w:r>
    </w:p>
    <w:p w14:paraId="323198CE">
      <w:pPr>
        <w:pStyle w:val="4"/>
        <w:widowControl/>
        <w:tabs>
          <w:tab w:val="left" w:pos="148"/>
        </w:tabs>
        <w:autoSpaceDE w:val="0"/>
        <w:autoSpaceDN w:val="0"/>
        <w:adjustRightInd w:val="0"/>
        <w:snapToGrid w:val="0"/>
        <w:spacing w:after="0" w:line="560" w:lineRule="exact"/>
        <w:ind w:firstLine="776" w:firstLineChars="200"/>
        <w:textAlignment w:val="baseline"/>
        <w:rPr>
          <w:rFonts w:eastAsia="方正仿宋_GB2312"/>
          <w:sz w:val="32"/>
          <w:szCs w:val="32"/>
        </w:rPr>
      </w:pPr>
      <w:r>
        <w:rPr>
          <w:rFonts w:hint="eastAsia" w:eastAsia="方正仿宋_GB2312"/>
          <w:spacing w:val="34"/>
          <w:sz w:val="32"/>
          <w:szCs w:val="32"/>
        </w:rPr>
        <w:t>联系人：</w:t>
      </w:r>
      <w:r>
        <w:rPr>
          <w:rFonts w:hint="eastAsia" w:eastAsia="方正仿宋_GB2312"/>
          <w:sz w:val="32"/>
          <w:szCs w:val="32"/>
        </w:rPr>
        <w:t>张女士</w:t>
      </w:r>
    </w:p>
    <w:p w14:paraId="6794411F">
      <w:pPr>
        <w:pStyle w:val="4"/>
        <w:widowControl/>
        <w:tabs>
          <w:tab w:val="left" w:pos="148"/>
        </w:tabs>
        <w:autoSpaceDE w:val="0"/>
        <w:autoSpaceDN w:val="0"/>
        <w:adjustRightInd w:val="0"/>
        <w:snapToGrid w:val="0"/>
        <w:spacing w:after="0" w:line="560" w:lineRule="exact"/>
        <w:ind w:firstLine="640" w:firstLineChars="200"/>
        <w:textAlignment w:val="baseline"/>
      </w:pPr>
      <w:r>
        <w:rPr>
          <w:rFonts w:hint="eastAsia" w:eastAsia="方正仿宋_GB2312"/>
          <w:sz w:val="32"/>
          <w:szCs w:val="32"/>
        </w:rPr>
        <w:t>电    话：0734-8888393</w:t>
      </w:r>
    </w:p>
    <w:p w14:paraId="62CC9EE2">
      <w:pPr>
        <w:pStyle w:val="3"/>
        <w:spacing w:line="560" w:lineRule="exact"/>
        <w:jc w:val="both"/>
      </w:pPr>
    </w:p>
    <w:p w14:paraId="1AC3789A">
      <w:pPr>
        <w:spacing w:line="560" w:lineRule="exact"/>
      </w:pPr>
      <w:r>
        <w:br w:type="page"/>
      </w:r>
    </w:p>
    <w:p w14:paraId="201AA9F5">
      <w:pPr>
        <w:spacing w:line="480" w:lineRule="exact"/>
        <w:jc w:val="center"/>
        <w:rPr>
          <w:rFonts w:ascii="黑体" w:hAnsi="黑体" w:eastAsia="黑体" w:cs="黑体"/>
          <w:b/>
          <w:bCs/>
          <w:kern w:val="0"/>
          <w:sz w:val="32"/>
          <w:szCs w:val="32"/>
        </w:rPr>
      </w:pPr>
      <w:r>
        <w:rPr>
          <w:rFonts w:hint="eastAsia" w:ascii="黑体" w:hAnsi="黑体" w:eastAsia="黑体" w:cs="黑体"/>
          <w:b/>
          <w:bCs/>
          <w:sz w:val="40"/>
          <w:szCs w:val="40"/>
          <w:shd w:val="clear" w:color="auto" w:fill="FFFFFF"/>
        </w:rPr>
        <w:t>第二章  比选须知文件</w:t>
      </w:r>
    </w:p>
    <w:p w14:paraId="277405DA">
      <w:pPr>
        <w:widowControl/>
        <w:spacing w:line="480" w:lineRule="exact"/>
        <w:rPr>
          <w:rFonts w:ascii="黑体" w:hAnsi="黑体" w:eastAsia="黑体" w:cs="黑体"/>
          <w:b/>
          <w:bCs/>
          <w:kern w:val="0"/>
          <w:sz w:val="32"/>
          <w:szCs w:val="32"/>
        </w:rPr>
      </w:pPr>
    </w:p>
    <w:p w14:paraId="22C04D9C">
      <w:pPr>
        <w:widowControl/>
        <w:spacing w:line="480" w:lineRule="exact"/>
        <w:rPr>
          <w:rFonts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5"/>
        <w:tblW w:w="9524" w:type="dxa"/>
        <w:jc w:val="center"/>
        <w:tblLayout w:type="fixed"/>
        <w:tblCellMar>
          <w:top w:w="0" w:type="dxa"/>
          <w:left w:w="108" w:type="dxa"/>
          <w:bottom w:w="0" w:type="dxa"/>
          <w:right w:w="108" w:type="dxa"/>
        </w:tblCellMar>
      </w:tblPr>
      <w:tblGrid>
        <w:gridCol w:w="835"/>
        <w:gridCol w:w="1487"/>
        <w:gridCol w:w="7202"/>
      </w:tblGrid>
      <w:tr w14:paraId="12425B2E">
        <w:tblPrEx>
          <w:tblCellMar>
            <w:top w:w="0" w:type="dxa"/>
            <w:left w:w="108" w:type="dxa"/>
            <w:bottom w:w="0" w:type="dxa"/>
            <w:right w:w="108" w:type="dxa"/>
          </w:tblCellMar>
        </w:tblPrEx>
        <w:trPr>
          <w:trHeight w:val="551" w:hRule="atLeast"/>
          <w:jc w:val="center"/>
        </w:trPr>
        <w:tc>
          <w:tcPr>
            <w:tcW w:w="835" w:type="dxa"/>
            <w:tcBorders>
              <w:top w:val="single" w:color="000000" w:sz="4" w:space="0"/>
              <w:left w:val="single" w:color="000000" w:sz="4" w:space="0"/>
              <w:bottom w:val="single" w:color="000000" w:sz="4" w:space="0"/>
              <w:right w:val="single" w:color="000000" w:sz="4" w:space="0"/>
            </w:tcBorders>
          </w:tcPr>
          <w:p w14:paraId="48817120">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序号</w:t>
            </w:r>
          </w:p>
        </w:tc>
        <w:tc>
          <w:tcPr>
            <w:tcW w:w="1487" w:type="dxa"/>
            <w:tcBorders>
              <w:top w:val="single" w:color="000000" w:sz="4" w:space="0"/>
              <w:left w:val="nil"/>
              <w:bottom w:val="single" w:color="000000" w:sz="4" w:space="0"/>
              <w:right w:val="single" w:color="000000" w:sz="4" w:space="0"/>
            </w:tcBorders>
          </w:tcPr>
          <w:p w14:paraId="4930E015">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名称</w:t>
            </w:r>
          </w:p>
        </w:tc>
        <w:tc>
          <w:tcPr>
            <w:tcW w:w="7202" w:type="dxa"/>
            <w:tcBorders>
              <w:top w:val="single" w:color="000000" w:sz="4" w:space="0"/>
              <w:left w:val="nil"/>
              <w:bottom w:val="single" w:color="000000" w:sz="4" w:space="0"/>
              <w:right w:val="single" w:color="000000" w:sz="4" w:space="0"/>
            </w:tcBorders>
          </w:tcPr>
          <w:p w14:paraId="7A2FC8DD">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内容规定</w:t>
            </w:r>
          </w:p>
        </w:tc>
      </w:tr>
      <w:tr w14:paraId="440C95DB">
        <w:tblPrEx>
          <w:tblCellMar>
            <w:top w:w="0" w:type="dxa"/>
            <w:left w:w="108" w:type="dxa"/>
            <w:bottom w:w="0" w:type="dxa"/>
            <w:right w:w="108" w:type="dxa"/>
          </w:tblCellMar>
        </w:tblPrEx>
        <w:trPr>
          <w:trHeight w:val="236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DCE0ECE">
            <w:pPr>
              <w:widowControl/>
              <w:spacing w:line="480" w:lineRule="exact"/>
              <w:jc w:val="center"/>
              <w:rPr>
                <w:rFonts w:ascii="仿宋" w:hAnsi="仿宋" w:eastAsia="仿宋"/>
                <w:kern w:val="0"/>
                <w:sz w:val="24"/>
              </w:rPr>
            </w:pPr>
            <w:r>
              <w:rPr>
                <w:rFonts w:hint="eastAsia" w:ascii="仿宋" w:hAnsi="仿宋" w:eastAsia="仿宋"/>
                <w:kern w:val="0"/>
                <w:sz w:val="24"/>
              </w:rPr>
              <w:t>1</w:t>
            </w:r>
          </w:p>
        </w:tc>
        <w:tc>
          <w:tcPr>
            <w:tcW w:w="1487" w:type="dxa"/>
            <w:tcBorders>
              <w:top w:val="single" w:color="000000" w:sz="4" w:space="0"/>
              <w:left w:val="nil"/>
              <w:bottom w:val="single" w:color="000000" w:sz="4" w:space="0"/>
              <w:right w:val="single" w:color="000000" w:sz="4" w:space="0"/>
            </w:tcBorders>
            <w:vAlign w:val="center"/>
          </w:tcPr>
          <w:p w14:paraId="60C9F42A">
            <w:pPr>
              <w:widowControl/>
              <w:spacing w:line="480" w:lineRule="exact"/>
              <w:jc w:val="center"/>
              <w:rPr>
                <w:rFonts w:ascii="仿宋" w:hAnsi="仿宋" w:eastAsia="仿宋"/>
                <w:kern w:val="0"/>
                <w:sz w:val="24"/>
              </w:rPr>
            </w:pPr>
            <w:r>
              <w:rPr>
                <w:rFonts w:hint="eastAsia" w:ascii="仿宋" w:hAnsi="仿宋" w:eastAsia="仿宋"/>
                <w:kern w:val="0"/>
                <w:sz w:val="24"/>
              </w:rPr>
              <w:t>比选人</w:t>
            </w:r>
          </w:p>
        </w:tc>
        <w:tc>
          <w:tcPr>
            <w:tcW w:w="7202" w:type="dxa"/>
            <w:tcBorders>
              <w:top w:val="single" w:color="000000" w:sz="4" w:space="0"/>
              <w:left w:val="nil"/>
              <w:bottom w:val="single" w:color="000000" w:sz="4" w:space="0"/>
              <w:right w:val="single" w:color="000000" w:sz="4" w:space="0"/>
            </w:tcBorders>
            <w:vAlign w:val="center"/>
          </w:tcPr>
          <w:p w14:paraId="7E108C4C">
            <w:pPr>
              <w:widowControl/>
              <w:spacing w:line="480" w:lineRule="exact"/>
              <w:jc w:val="left"/>
              <w:rPr>
                <w:rFonts w:ascii="仿宋" w:hAnsi="仿宋" w:eastAsia="仿宋"/>
                <w:sz w:val="24"/>
              </w:rPr>
            </w:pPr>
            <w:r>
              <w:rPr>
                <w:rFonts w:hint="eastAsia" w:ascii="仿宋" w:hAnsi="仿宋" w:eastAsia="仿宋"/>
                <w:sz w:val="24"/>
              </w:rPr>
              <w:t>业    主：衡阳市发展投资集团有限公司</w:t>
            </w:r>
          </w:p>
          <w:p w14:paraId="0AE25F86">
            <w:pPr>
              <w:widowControl/>
              <w:spacing w:line="480" w:lineRule="exact"/>
              <w:jc w:val="left"/>
              <w:rPr>
                <w:rFonts w:ascii="仿宋" w:hAnsi="仿宋" w:eastAsia="仿宋"/>
                <w:sz w:val="24"/>
              </w:rPr>
            </w:pPr>
            <w:r>
              <w:rPr>
                <w:rFonts w:ascii="仿宋" w:hAnsi="仿宋" w:eastAsia="仿宋"/>
                <w:sz w:val="24"/>
              </w:rPr>
              <w:t>地</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址：衡阳市高新产业技术开发区</w:t>
            </w:r>
            <w:r>
              <w:rPr>
                <w:rFonts w:hint="eastAsia" w:ascii="仿宋" w:hAnsi="仿宋" w:eastAsia="仿宋"/>
                <w:sz w:val="24"/>
                <w:lang w:val="en-US" w:eastAsia="zh-CN"/>
              </w:rPr>
              <w:t>三江路15号</w:t>
            </w:r>
          </w:p>
          <w:p w14:paraId="3731A139">
            <w:pPr>
              <w:widowControl/>
              <w:spacing w:line="480" w:lineRule="exact"/>
              <w:jc w:val="left"/>
              <w:rPr>
                <w:rFonts w:ascii="仿宋" w:hAnsi="仿宋" w:eastAsia="仿宋"/>
                <w:sz w:val="24"/>
              </w:rPr>
            </w:pPr>
            <w:r>
              <w:rPr>
                <w:rFonts w:ascii="仿宋" w:hAnsi="仿宋" w:eastAsia="仿宋"/>
                <w:sz w:val="24"/>
              </w:rPr>
              <w:t>联系人：  王女士、卢女士</w:t>
            </w:r>
          </w:p>
          <w:p w14:paraId="43154288">
            <w:pPr>
              <w:widowControl/>
              <w:spacing w:line="480" w:lineRule="exact"/>
              <w:jc w:val="left"/>
              <w:rPr>
                <w:rFonts w:ascii="仿宋" w:hAnsi="仿宋" w:eastAsia="仿宋" w:cs="宋体"/>
                <w:kern w:val="0"/>
                <w:sz w:val="24"/>
              </w:rPr>
            </w:pPr>
            <w:r>
              <w:rPr>
                <w:rFonts w:ascii="仿宋" w:hAnsi="仿宋" w:eastAsia="仿宋"/>
                <w:sz w:val="24"/>
              </w:rPr>
              <w:t>联系电话：0734-8877025、0734-8828282、0734-8888071</w:t>
            </w:r>
          </w:p>
        </w:tc>
      </w:tr>
      <w:tr w14:paraId="4EB52CE0">
        <w:tblPrEx>
          <w:tblCellMar>
            <w:top w:w="0" w:type="dxa"/>
            <w:left w:w="108" w:type="dxa"/>
            <w:bottom w:w="0" w:type="dxa"/>
            <w:right w:w="108" w:type="dxa"/>
          </w:tblCellMar>
        </w:tblPrEx>
        <w:trPr>
          <w:trHeight w:val="140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AEC77FE">
            <w:pPr>
              <w:widowControl/>
              <w:spacing w:line="480" w:lineRule="exact"/>
              <w:jc w:val="center"/>
              <w:rPr>
                <w:rFonts w:ascii="仿宋" w:hAnsi="仿宋" w:eastAsia="仿宋"/>
                <w:kern w:val="0"/>
                <w:sz w:val="24"/>
              </w:rPr>
            </w:pPr>
            <w:r>
              <w:rPr>
                <w:rFonts w:hint="eastAsia" w:ascii="仿宋" w:hAnsi="仿宋" w:eastAsia="仿宋"/>
                <w:kern w:val="0"/>
                <w:sz w:val="24"/>
              </w:rPr>
              <w:t>2</w:t>
            </w:r>
          </w:p>
        </w:tc>
        <w:tc>
          <w:tcPr>
            <w:tcW w:w="1487" w:type="dxa"/>
            <w:tcBorders>
              <w:top w:val="single" w:color="000000" w:sz="4" w:space="0"/>
              <w:left w:val="nil"/>
              <w:bottom w:val="single" w:color="000000" w:sz="4" w:space="0"/>
              <w:right w:val="single" w:color="000000" w:sz="4" w:space="0"/>
            </w:tcBorders>
            <w:vAlign w:val="center"/>
          </w:tcPr>
          <w:p w14:paraId="2C1A82F7">
            <w:pPr>
              <w:widowControl/>
              <w:spacing w:line="480" w:lineRule="exact"/>
              <w:jc w:val="center"/>
              <w:rPr>
                <w:rFonts w:ascii="仿宋" w:hAnsi="仿宋" w:eastAsia="仿宋"/>
                <w:kern w:val="0"/>
                <w:sz w:val="24"/>
              </w:rPr>
            </w:pPr>
            <w:r>
              <w:rPr>
                <w:rFonts w:hint="eastAsia" w:ascii="仿宋" w:hAnsi="仿宋" w:eastAsia="仿宋"/>
                <w:kern w:val="0"/>
                <w:sz w:val="24"/>
              </w:rPr>
              <w:t>项目名称</w:t>
            </w:r>
          </w:p>
        </w:tc>
        <w:tc>
          <w:tcPr>
            <w:tcW w:w="7202" w:type="dxa"/>
            <w:tcBorders>
              <w:top w:val="single" w:color="000000" w:sz="4" w:space="0"/>
              <w:left w:val="nil"/>
              <w:bottom w:val="single" w:color="000000" w:sz="4" w:space="0"/>
              <w:right w:val="single" w:color="000000" w:sz="4" w:space="0"/>
            </w:tcBorders>
            <w:vAlign w:val="center"/>
          </w:tcPr>
          <w:p w14:paraId="72784995">
            <w:pPr>
              <w:widowControl/>
              <w:spacing w:line="480" w:lineRule="exact"/>
              <w:jc w:val="left"/>
              <w:rPr>
                <w:rFonts w:ascii="仿宋" w:hAnsi="仿宋" w:eastAsia="仿宋"/>
                <w:spacing w:val="15"/>
                <w:kern w:val="0"/>
                <w:sz w:val="24"/>
              </w:rPr>
            </w:pPr>
            <w:r>
              <w:rPr>
                <w:rFonts w:ascii="仿宋" w:hAnsi="仿宋" w:eastAsia="仿宋"/>
                <w:sz w:val="24"/>
              </w:rPr>
              <w:t>衡阳市发展投资集团有限公司食堂油烟机清洗、化粪池（沉油池）清掏及杀虫灭害服务单位比选</w:t>
            </w:r>
          </w:p>
        </w:tc>
      </w:tr>
      <w:tr w14:paraId="6AC391B8">
        <w:tblPrEx>
          <w:tblCellMar>
            <w:top w:w="0" w:type="dxa"/>
            <w:left w:w="108" w:type="dxa"/>
            <w:bottom w:w="0" w:type="dxa"/>
            <w:right w:w="108" w:type="dxa"/>
          </w:tblCellMar>
        </w:tblPrEx>
        <w:trPr>
          <w:trHeight w:val="263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640EC48">
            <w:pPr>
              <w:widowControl/>
              <w:spacing w:line="480" w:lineRule="exact"/>
              <w:jc w:val="center"/>
              <w:rPr>
                <w:rFonts w:ascii="仿宋" w:hAnsi="仿宋" w:eastAsia="仿宋"/>
                <w:kern w:val="0"/>
                <w:sz w:val="24"/>
              </w:rPr>
            </w:pPr>
            <w:r>
              <w:rPr>
                <w:rFonts w:hint="eastAsia" w:ascii="仿宋" w:hAnsi="仿宋" w:eastAsia="仿宋"/>
                <w:kern w:val="0"/>
                <w:sz w:val="24"/>
              </w:rPr>
              <w:t>3</w:t>
            </w:r>
          </w:p>
        </w:tc>
        <w:tc>
          <w:tcPr>
            <w:tcW w:w="1487" w:type="dxa"/>
            <w:tcBorders>
              <w:top w:val="single" w:color="000000" w:sz="4" w:space="0"/>
              <w:left w:val="nil"/>
              <w:bottom w:val="single" w:color="000000" w:sz="4" w:space="0"/>
              <w:right w:val="single" w:color="000000" w:sz="4" w:space="0"/>
            </w:tcBorders>
            <w:vAlign w:val="center"/>
          </w:tcPr>
          <w:p w14:paraId="33F7886D">
            <w:pPr>
              <w:widowControl/>
              <w:spacing w:line="480" w:lineRule="exact"/>
              <w:jc w:val="center"/>
              <w:rPr>
                <w:rFonts w:ascii="仿宋" w:hAnsi="仿宋" w:eastAsia="仿宋"/>
                <w:kern w:val="0"/>
                <w:sz w:val="24"/>
              </w:rPr>
            </w:pPr>
            <w:r>
              <w:rPr>
                <w:rFonts w:hint="eastAsia" w:ascii="仿宋" w:hAnsi="仿宋" w:eastAsia="仿宋"/>
                <w:kern w:val="0"/>
                <w:sz w:val="24"/>
              </w:rPr>
              <w:t>项目基本</w:t>
            </w:r>
          </w:p>
          <w:p w14:paraId="65EA1F23">
            <w:pPr>
              <w:widowControl/>
              <w:spacing w:line="480" w:lineRule="exact"/>
              <w:jc w:val="center"/>
              <w:rPr>
                <w:rFonts w:ascii="仿宋" w:hAnsi="仿宋" w:eastAsia="仿宋"/>
                <w:kern w:val="0"/>
                <w:sz w:val="24"/>
              </w:rPr>
            </w:pPr>
            <w:r>
              <w:rPr>
                <w:rFonts w:hint="eastAsia" w:ascii="仿宋" w:hAnsi="仿宋" w:eastAsia="仿宋"/>
                <w:kern w:val="0"/>
                <w:sz w:val="24"/>
              </w:rPr>
              <w:t>情况</w:t>
            </w:r>
          </w:p>
        </w:tc>
        <w:tc>
          <w:tcPr>
            <w:tcW w:w="7202" w:type="dxa"/>
            <w:tcBorders>
              <w:top w:val="single" w:color="000000" w:sz="4" w:space="0"/>
              <w:left w:val="nil"/>
              <w:bottom w:val="single" w:color="000000" w:sz="4" w:space="0"/>
              <w:right w:val="single" w:color="000000" w:sz="4" w:space="0"/>
            </w:tcBorders>
            <w:vAlign w:val="center"/>
          </w:tcPr>
          <w:p w14:paraId="4637B314">
            <w:pPr>
              <w:widowControl/>
              <w:spacing w:line="480" w:lineRule="exact"/>
              <w:jc w:val="left"/>
              <w:rPr>
                <w:rFonts w:ascii="仿宋" w:hAnsi="仿宋" w:eastAsia="仿宋"/>
                <w:sz w:val="24"/>
              </w:rPr>
            </w:pPr>
            <w:r>
              <w:rPr>
                <w:rFonts w:ascii="仿宋" w:hAnsi="仿宋" w:eastAsia="仿宋"/>
                <w:sz w:val="24"/>
              </w:rPr>
              <w:t>项目名称是衡阳市发展投资集团有限公司食堂油烟机清洗、化粪池（沉油池）清掏及杀虫灭害服务单位比选，其地址在湖南省衡阳市高新技术产业开发区三江路15号。现根据食堂卫生安全标准、卫生清洁要求，清洗排油烟管道、上下内排油烟罩面、排油烟口、风机、烟道、厨房器具等厨房设施；清运食堂油水分离器；化粪池（沉油池）清掏；对厨房的材料存放区、食材存放区、烹饪制作区、食材加工区、废料回收区、油污处理区以及食堂就餐区域的虫鼠蝇蚊等有害生物进行消杀、灭活处理，保证食品安全卫生环境。</w:t>
            </w:r>
          </w:p>
        </w:tc>
      </w:tr>
      <w:tr w14:paraId="01C7B1E6">
        <w:tblPrEx>
          <w:tblCellMar>
            <w:top w:w="0" w:type="dxa"/>
            <w:left w:w="108" w:type="dxa"/>
            <w:bottom w:w="0" w:type="dxa"/>
            <w:right w:w="108" w:type="dxa"/>
          </w:tblCellMar>
        </w:tblPrEx>
        <w:trPr>
          <w:trHeight w:val="136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D9A0741">
            <w:pPr>
              <w:widowControl/>
              <w:spacing w:line="480" w:lineRule="exact"/>
              <w:jc w:val="center"/>
              <w:rPr>
                <w:rFonts w:ascii="仿宋" w:hAnsi="仿宋" w:eastAsia="仿宋"/>
                <w:kern w:val="0"/>
                <w:sz w:val="24"/>
              </w:rPr>
            </w:pPr>
            <w:r>
              <w:rPr>
                <w:rFonts w:hint="eastAsia" w:ascii="仿宋" w:hAnsi="仿宋" w:eastAsia="仿宋"/>
                <w:kern w:val="0"/>
                <w:sz w:val="24"/>
              </w:rPr>
              <w:t>4</w:t>
            </w:r>
          </w:p>
        </w:tc>
        <w:tc>
          <w:tcPr>
            <w:tcW w:w="1487" w:type="dxa"/>
            <w:tcBorders>
              <w:top w:val="single" w:color="000000" w:sz="4" w:space="0"/>
              <w:left w:val="nil"/>
              <w:bottom w:val="single" w:color="000000" w:sz="4" w:space="0"/>
              <w:right w:val="single" w:color="000000" w:sz="4" w:space="0"/>
            </w:tcBorders>
            <w:vAlign w:val="center"/>
          </w:tcPr>
          <w:p w14:paraId="76BF4B9A">
            <w:pPr>
              <w:adjustRightInd w:val="0"/>
              <w:snapToGrid w:val="0"/>
              <w:spacing w:line="480" w:lineRule="exact"/>
              <w:jc w:val="center"/>
              <w:rPr>
                <w:rFonts w:ascii="仿宋" w:hAnsi="仿宋" w:eastAsia="仿宋"/>
                <w:sz w:val="24"/>
              </w:rPr>
            </w:pPr>
            <w:r>
              <w:rPr>
                <w:rFonts w:hint="eastAsia" w:ascii="仿宋" w:hAnsi="仿宋" w:eastAsia="仿宋"/>
                <w:sz w:val="24"/>
              </w:rPr>
              <w:t>资金来源</w:t>
            </w:r>
          </w:p>
        </w:tc>
        <w:tc>
          <w:tcPr>
            <w:tcW w:w="7202" w:type="dxa"/>
            <w:tcBorders>
              <w:top w:val="single" w:color="000000" w:sz="4" w:space="0"/>
              <w:left w:val="nil"/>
              <w:bottom w:val="single" w:color="000000" w:sz="4" w:space="0"/>
              <w:right w:val="single" w:color="000000" w:sz="4" w:space="0"/>
            </w:tcBorders>
            <w:vAlign w:val="center"/>
          </w:tcPr>
          <w:p w14:paraId="2F138B57">
            <w:pPr>
              <w:adjustRightInd w:val="0"/>
              <w:snapToGrid w:val="0"/>
              <w:spacing w:line="480" w:lineRule="exact"/>
              <w:jc w:val="left"/>
              <w:rPr>
                <w:rFonts w:ascii="仿宋" w:hAnsi="仿宋" w:eastAsia="仿宋"/>
                <w:sz w:val="24"/>
              </w:rPr>
            </w:pPr>
            <w:r>
              <w:rPr>
                <w:rFonts w:ascii="仿宋" w:hAnsi="仿宋" w:eastAsia="仿宋"/>
                <w:sz w:val="24"/>
              </w:rPr>
              <w:t>企业自筹</w:t>
            </w:r>
          </w:p>
        </w:tc>
      </w:tr>
      <w:tr w14:paraId="345E99F4">
        <w:tblPrEx>
          <w:tblCellMar>
            <w:top w:w="0" w:type="dxa"/>
            <w:left w:w="108" w:type="dxa"/>
            <w:bottom w:w="0" w:type="dxa"/>
            <w:right w:w="108" w:type="dxa"/>
          </w:tblCellMar>
        </w:tblPrEx>
        <w:trPr>
          <w:trHeight w:val="174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87DE76F">
            <w:pPr>
              <w:widowControl/>
              <w:spacing w:line="480" w:lineRule="exact"/>
              <w:jc w:val="center"/>
              <w:rPr>
                <w:rFonts w:ascii="仿宋" w:hAnsi="仿宋" w:eastAsia="仿宋"/>
                <w:kern w:val="0"/>
                <w:sz w:val="24"/>
              </w:rPr>
            </w:pPr>
            <w:r>
              <w:rPr>
                <w:rFonts w:hint="eastAsia" w:ascii="仿宋" w:hAnsi="仿宋" w:eastAsia="仿宋"/>
                <w:kern w:val="0"/>
                <w:sz w:val="24"/>
              </w:rPr>
              <w:t>5</w:t>
            </w:r>
          </w:p>
        </w:tc>
        <w:tc>
          <w:tcPr>
            <w:tcW w:w="1487" w:type="dxa"/>
            <w:tcBorders>
              <w:top w:val="single" w:color="000000" w:sz="4" w:space="0"/>
              <w:left w:val="nil"/>
              <w:bottom w:val="single" w:color="000000" w:sz="4" w:space="0"/>
              <w:right w:val="single" w:color="000000" w:sz="4" w:space="0"/>
            </w:tcBorders>
            <w:vAlign w:val="center"/>
          </w:tcPr>
          <w:p w14:paraId="4D9DC0FF">
            <w:pPr>
              <w:widowControl/>
              <w:spacing w:line="480" w:lineRule="exact"/>
              <w:jc w:val="center"/>
              <w:rPr>
                <w:rFonts w:ascii="仿宋" w:hAnsi="仿宋" w:eastAsia="仿宋"/>
                <w:kern w:val="0"/>
                <w:sz w:val="24"/>
              </w:rPr>
            </w:pPr>
            <w:r>
              <w:rPr>
                <w:rFonts w:hint="eastAsia" w:ascii="仿宋" w:hAnsi="仿宋" w:eastAsia="仿宋"/>
                <w:kern w:val="0"/>
                <w:sz w:val="24"/>
              </w:rPr>
              <w:t>服务内容</w:t>
            </w:r>
          </w:p>
          <w:p w14:paraId="4DAD59C3">
            <w:pPr>
              <w:widowControl/>
              <w:spacing w:line="480" w:lineRule="exact"/>
              <w:jc w:val="center"/>
              <w:rPr>
                <w:rFonts w:ascii="仿宋" w:hAnsi="仿宋" w:eastAsia="仿宋"/>
                <w:kern w:val="0"/>
                <w:sz w:val="24"/>
              </w:rPr>
            </w:pPr>
            <w:r>
              <w:rPr>
                <w:rFonts w:hint="eastAsia" w:ascii="仿宋" w:hAnsi="仿宋" w:eastAsia="仿宋"/>
                <w:kern w:val="0"/>
                <w:sz w:val="24"/>
              </w:rPr>
              <w:t>及要求</w:t>
            </w:r>
          </w:p>
        </w:tc>
        <w:tc>
          <w:tcPr>
            <w:tcW w:w="7202" w:type="dxa"/>
            <w:tcBorders>
              <w:top w:val="single" w:color="000000" w:sz="4" w:space="0"/>
              <w:left w:val="nil"/>
              <w:bottom w:val="single" w:color="000000" w:sz="4" w:space="0"/>
              <w:right w:val="single" w:color="000000" w:sz="4" w:space="0"/>
            </w:tcBorders>
            <w:vAlign w:val="center"/>
          </w:tcPr>
          <w:p w14:paraId="0E4BDBB0">
            <w:pPr>
              <w:widowControl/>
              <w:spacing w:line="480" w:lineRule="exact"/>
              <w:jc w:val="left"/>
              <w:rPr>
                <w:rFonts w:ascii="仿宋" w:hAnsi="仿宋" w:eastAsia="仿宋"/>
                <w:kern w:val="0"/>
                <w:sz w:val="24"/>
              </w:rPr>
            </w:pPr>
            <w:r>
              <w:rPr>
                <w:rFonts w:hint="eastAsia" w:ascii="仿宋" w:hAnsi="仿宋" w:eastAsia="仿宋"/>
                <w:kern w:val="0"/>
                <w:sz w:val="24"/>
              </w:rPr>
              <w:t>1.具体服务内容及要求</w:t>
            </w:r>
          </w:p>
          <w:p w14:paraId="5482E551">
            <w:pPr>
              <w:widowControl/>
              <w:spacing w:line="480" w:lineRule="exact"/>
              <w:jc w:val="left"/>
              <w:rPr>
                <w:rFonts w:ascii="仿宋" w:hAnsi="仿宋" w:eastAsia="仿宋"/>
                <w:kern w:val="0"/>
                <w:sz w:val="24"/>
              </w:rPr>
            </w:pPr>
            <w:r>
              <w:rPr>
                <w:rFonts w:hint="eastAsia" w:ascii="仿宋" w:hAnsi="仿宋" w:eastAsia="仿宋"/>
                <w:kern w:val="0"/>
                <w:sz w:val="24"/>
              </w:rPr>
              <w:t>（1）预计服务内容及频次：</w:t>
            </w:r>
          </w:p>
          <w:p w14:paraId="0DB6C3E9">
            <w:pPr>
              <w:widowControl/>
              <w:spacing w:line="480" w:lineRule="exact"/>
              <w:jc w:val="left"/>
              <w:rPr>
                <w:rFonts w:ascii="仿宋" w:hAnsi="仿宋" w:eastAsia="仿宋"/>
                <w:kern w:val="0"/>
                <w:sz w:val="24"/>
              </w:rPr>
            </w:pPr>
            <w:r>
              <w:rPr>
                <w:rFonts w:hint="eastAsia" w:ascii="仿宋" w:hAnsi="仿宋" w:eastAsia="仿宋"/>
                <w:kern w:val="0"/>
                <w:sz w:val="24"/>
              </w:rPr>
              <w:t>油烟管道等厨房设施清洗、油水分离器（隔油池）清运、化粪池清掏服务（含风机1台、净化器清洗2组、烟管16.5米；洗车抽粪2车等）每季度1次，每年4次。杀虫灭害服务（按实际消杀面积计算）每两月作业1次，每年6次。</w:t>
            </w:r>
          </w:p>
          <w:p w14:paraId="297362F3">
            <w:pPr>
              <w:widowControl/>
              <w:spacing w:line="480" w:lineRule="exact"/>
              <w:jc w:val="left"/>
              <w:rPr>
                <w:rFonts w:ascii="仿宋" w:hAnsi="仿宋" w:eastAsia="仿宋"/>
                <w:kern w:val="0"/>
                <w:sz w:val="24"/>
              </w:rPr>
            </w:pPr>
            <w:r>
              <w:rPr>
                <w:rFonts w:hint="eastAsia" w:ascii="仿宋" w:hAnsi="仿宋" w:eastAsia="仿宋"/>
                <w:kern w:val="0"/>
                <w:sz w:val="24"/>
              </w:rPr>
              <w:t>实际服务时间及次数按照采购单位要求执行，一般情况采购单位提前1天通知服务方进行服务，如遇紧急情况，服务方应提供24小时随叫随到服务，60分钟内响应到场。</w:t>
            </w:r>
          </w:p>
          <w:p w14:paraId="2C0863A0">
            <w:pPr>
              <w:widowControl/>
              <w:spacing w:line="480" w:lineRule="exact"/>
              <w:jc w:val="left"/>
              <w:rPr>
                <w:rFonts w:ascii="仿宋" w:hAnsi="仿宋" w:eastAsia="仿宋"/>
                <w:kern w:val="0"/>
                <w:sz w:val="24"/>
              </w:rPr>
            </w:pPr>
            <w:r>
              <w:rPr>
                <w:rFonts w:hint="eastAsia" w:ascii="仿宋" w:hAnsi="仿宋" w:eastAsia="仿宋"/>
                <w:kern w:val="0"/>
                <w:sz w:val="24"/>
              </w:rPr>
              <w:t>（2）服务人员进行现场作业前应出具符合要求的作业证件，采购方进行查验符合要求后进行服务。在清洗前对烟罩内油烟管道、排烟机、管道、油水分离器等待清洗设备进行拍照，清洗完成后对清洗后相应内容进行拍照。清洗完成后将图片作为“油烟机清洗报告”附件提交给采购方备案，采购方管理人员根据服务及验收标准进行查验，符合标准后签字确认，</w:t>
            </w:r>
          </w:p>
          <w:p w14:paraId="01FB80A6">
            <w:pPr>
              <w:widowControl/>
              <w:spacing w:line="480" w:lineRule="exact"/>
              <w:jc w:val="left"/>
              <w:rPr>
                <w:rFonts w:ascii="仿宋" w:hAnsi="仿宋" w:eastAsia="仿宋"/>
                <w:kern w:val="0"/>
                <w:sz w:val="24"/>
              </w:rPr>
            </w:pPr>
            <w:r>
              <w:rPr>
                <w:rFonts w:hint="eastAsia" w:ascii="仿宋" w:hAnsi="仿宋" w:eastAsia="仿宋"/>
                <w:kern w:val="0"/>
                <w:sz w:val="24"/>
              </w:rPr>
              <w:t>（3）各项设施清洗过程要保持原有设施的外观和形状，确保清洗后其功能可正常运转或使用，由服务单位对意外损坏的部件进行修复和替换，恢复设施使用功能，并赔偿因此造成的全部损失。</w:t>
            </w:r>
          </w:p>
          <w:p w14:paraId="421B5739">
            <w:pPr>
              <w:widowControl/>
              <w:spacing w:line="480" w:lineRule="exact"/>
              <w:jc w:val="left"/>
              <w:rPr>
                <w:rFonts w:ascii="仿宋" w:hAnsi="仿宋" w:eastAsia="仿宋"/>
                <w:kern w:val="0"/>
                <w:sz w:val="24"/>
              </w:rPr>
            </w:pPr>
            <w:r>
              <w:rPr>
                <w:rFonts w:hint="eastAsia" w:ascii="仿宋" w:hAnsi="仿宋" w:eastAsia="仿宋"/>
                <w:kern w:val="0"/>
                <w:sz w:val="24"/>
              </w:rPr>
              <w:t>（4）清洗过程要符合安全标准及要求，安全责任由服务单位承担，涉及高空作业的操作要符合国家高空作业标准，做好人员的安全防护措施，配戴安全防护装备，同时要保障地面设施的安全性，防止高空坠物意外落下造成的生命、财产损失，由服务单位赔偿造成的全部损失。</w:t>
            </w:r>
          </w:p>
          <w:p w14:paraId="7555F701">
            <w:pPr>
              <w:widowControl/>
              <w:spacing w:line="480" w:lineRule="exact"/>
              <w:jc w:val="left"/>
              <w:rPr>
                <w:rFonts w:ascii="仿宋" w:hAnsi="仿宋" w:eastAsia="仿宋"/>
                <w:kern w:val="0"/>
                <w:sz w:val="24"/>
              </w:rPr>
            </w:pPr>
            <w:r>
              <w:rPr>
                <w:rFonts w:hint="eastAsia" w:ascii="仿宋" w:hAnsi="仿宋" w:eastAsia="仿宋"/>
                <w:kern w:val="0"/>
                <w:sz w:val="24"/>
              </w:rPr>
              <w:t>（5）进入食堂特定区域，消杀人员需要进行自身消毒、清洁，戴好口罩等安全防护用品。</w:t>
            </w:r>
          </w:p>
          <w:p w14:paraId="7EAD437E">
            <w:pPr>
              <w:widowControl/>
              <w:spacing w:line="480" w:lineRule="exact"/>
              <w:jc w:val="left"/>
              <w:rPr>
                <w:rFonts w:ascii="仿宋" w:hAnsi="仿宋" w:eastAsia="仿宋"/>
                <w:kern w:val="0"/>
                <w:sz w:val="24"/>
              </w:rPr>
            </w:pPr>
            <w:r>
              <w:rPr>
                <w:rFonts w:hint="eastAsia" w:ascii="仿宋" w:hAnsi="仿宋" w:eastAsia="仿宋"/>
                <w:kern w:val="0"/>
                <w:sz w:val="24"/>
              </w:rPr>
              <w:t>（6）消杀、灭活过程，消杀人员应注意食堂食品安全及电路安全，不得在食品、电路周围涂抹、放置消杀物品。雾状喷漆型消杀物品应选用对人体无毒无害产品。放置型消杀物品应当在放置处标有明显提示标志或明显物品，不得选用带有明显腐蚀性消杀物品。</w:t>
            </w:r>
          </w:p>
          <w:p w14:paraId="44F9BB69">
            <w:pPr>
              <w:widowControl/>
              <w:spacing w:line="480" w:lineRule="exact"/>
              <w:jc w:val="left"/>
              <w:rPr>
                <w:rFonts w:ascii="仿宋" w:hAnsi="仿宋" w:eastAsia="仿宋"/>
                <w:kern w:val="0"/>
                <w:sz w:val="24"/>
              </w:rPr>
            </w:pPr>
            <w:r>
              <w:rPr>
                <w:rFonts w:hint="eastAsia" w:ascii="仿宋" w:hAnsi="仿宋" w:eastAsia="仿宋"/>
                <w:kern w:val="0"/>
                <w:sz w:val="24"/>
              </w:rPr>
              <w:t>（7）消杀、灭活作业结束，消杀人员应当立即处理残余消杀物品，流通消杀场所空气，消除可能存在的安全风险，以确保食堂食品安全。</w:t>
            </w:r>
          </w:p>
          <w:p w14:paraId="6F37A464">
            <w:pPr>
              <w:widowControl/>
              <w:spacing w:line="480" w:lineRule="exact"/>
              <w:jc w:val="left"/>
              <w:rPr>
                <w:rFonts w:ascii="仿宋" w:hAnsi="仿宋" w:eastAsia="仿宋"/>
                <w:kern w:val="0"/>
                <w:sz w:val="24"/>
              </w:rPr>
            </w:pPr>
            <w:r>
              <w:rPr>
                <w:rFonts w:hint="eastAsia" w:ascii="仿宋" w:hAnsi="仿宋" w:eastAsia="仿宋"/>
                <w:kern w:val="0"/>
                <w:sz w:val="24"/>
              </w:rPr>
              <w:t>（8）如果服务导致设备损坏或财产损失，由服务单位进行维修，恢复设施使用功能，并赔偿因此造成的全部损失。赔偿金可服务费中直接抵扣。</w:t>
            </w:r>
          </w:p>
          <w:p w14:paraId="65E4F68C">
            <w:pPr>
              <w:widowControl/>
              <w:spacing w:line="480" w:lineRule="exact"/>
              <w:jc w:val="left"/>
              <w:rPr>
                <w:rFonts w:ascii="仿宋" w:hAnsi="仿宋" w:eastAsia="仿宋"/>
                <w:kern w:val="0"/>
                <w:sz w:val="24"/>
              </w:rPr>
            </w:pPr>
            <w:r>
              <w:rPr>
                <w:rFonts w:hint="eastAsia" w:ascii="仿宋" w:hAnsi="仿宋" w:eastAsia="仿宋"/>
                <w:kern w:val="0"/>
                <w:sz w:val="24"/>
              </w:rPr>
              <w:t>2.服务期限</w:t>
            </w:r>
          </w:p>
          <w:p w14:paraId="21AC16E1">
            <w:pPr>
              <w:widowControl/>
              <w:spacing w:line="480" w:lineRule="exact"/>
              <w:jc w:val="left"/>
              <w:rPr>
                <w:rFonts w:ascii="仿宋" w:hAnsi="仿宋" w:eastAsia="仿宋"/>
                <w:kern w:val="0"/>
                <w:sz w:val="24"/>
              </w:rPr>
            </w:pPr>
            <w:r>
              <w:rPr>
                <w:rFonts w:hint="eastAsia" w:ascii="仿宋" w:hAnsi="仿宋" w:eastAsia="仿宋"/>
                <w:kern w:val="0"/>
                <w:sz w:val="24"/>
              </w:rPr>
              <w:t>自合同签订之日起1年。如中标方服务未达到采购方要求、验收标准或相关部门查验标准等发生变化、履约存在问题等，采购方有权随时终止合同，中标方不得提出异议或索赔。</w:t>
            </w:r>
          </w:p>
          <w:p w14:paraId="506A21B3">
            <w:pPr>
              <w:widowControl/>
              <w:spacing w:line="480" w:lineRule="exact"/>
              <w:jc w:val="left"/>
              <w:rPr>
                <w:rFonts w:ascii="仿宋" w:hAnsi="仿宋" w:eastAsia="仿宋"/>
                <w:kern w:val="0"/>
                <w:sz w:val="24"/>
              </w:rPr>
            </w:pPr>
            <w:r>
              <w:rPr>
                <w:rFonts w:hint="eastAsia" w:ascii="仿宋" w:hAnsi="仿宋" w:eastAsia="仿宋"/>
                <w:kern w:val="0"/>
                <w:sz w:val="24"/>
              </w:rPr>
              <w:t>3.人员配备要求</w:t>
            </w:r>
          </w:p>
          <w:p w14:paraId="60C4A786">
            <w:pPr>
              <w:widowControl/>
              <w:spacing w:line="480" w:lineRule="exact"/>
              <w:jc w:val="left"/>
              <w:rPr>
                <w:rFonts w:ascii="仿宋" w:hAnsi="仿宋" w:eastAsia="仿宋"/>
                <w:kern w:val="0"/>
                <w:sz w:val="24"/>
              </w:rPr>
            </w:pPr>
            <w:r>
              <w:rPr>
                <w:rFonts w:hint="eastAsia" w:ascii="仿宋" w:hAnsi="仿宋" w:eastAsia="仿宋"/>
                <w:kern w:val="0"/>
                <w:sz w:val="24"/>
              </w:rPr>
              <w:t>项目负责人1人，由被委托人担任，服务期间未经采购单位同意，不得随意更换负责人。参与清洗人员应当提供高空作业证，参与蟑鼠蝇蚊等有害生物消杀、灭活作业的人员应当具备职业资格证（四害消杀员），作业前提供衡阳市健康证。</w:t>
            </w:r>
          </w:p>
          <w:p w14:paraId="2F9C9ED2">
            <w:pPr>
              <w:widowControl/>
              <w:spacing w:line="480" w:lineRule="exact"/>
              <w:jc w:val="left"/>
              <w:rPr>
                <w:rFonts w:ascii="仿宋" w:hAnsi="仿宋" w:eastAsia="仿宋"/>
                <w:kern w:val="0"/>
                <w:sz w:val="24"/>
              </w:rPr>
            </w:pPr>
            <w:r>
              <w:rPr>
                <w:rFonts w:hint="eastAsia" w:ascii="仿宋" w:hAnsi="仿宋" w:eastAsia="仿宋"/>
                <w:kern w:val="0"/>
                <w:sz w:val="24"/>
              </w:rPr>
              <w:t>4.服务验收标准</w:t>
            </w:r>
          </w:p>
          <w:p w14:paraId="3657062B">
            <w:pPr>
              <w:widowControl/>
              <w:spacing w:line="480" w:lineRule="exact"/>
              <w:jc w:val="left"/>
              <w:rPr>
                <w:rFonts w:ascii="仿宋" w:hAnsi="仿宋" w:eastAsia="仿宋"/>
                <w:kern w:val="0"/>
                <w:sz w:val="24"/>
              </w:rPr>
            </w:pPr>
            <w:r>
              <w:rPr>
                <w:rFonts w:hint="eastAsia" w:ascii="仿宋" w:hAnsi="仿宋" w:eastAsia="仿宋"/>
                <w:kern w:val="0"/>
                <w:sz w:val="24"/>
              </w:rPr>
              <w:t>（1）排烟罩、灶台、油水分离器等相关设备清洗完成后表面、内部、底部无油污、无污水、保证清洁无残留物。</w:t>
            </w:r>
          </w:p>
          <w:p w14:paraId="2459E25B">
            <w:pPr>
              <w:widowControl/>
              <w:spacing w:line="480" w:lineRule="exact"/>
              <w:jc w:val="left"/>
              <w:rPr>
                <w:rFonts w:ascii="仿宋" w:hAnsi="仿宋" w:eastAsia="仿宋"/>
                <w:kern w:val="0"/>
                <w:sz w:val="24"/>
              </w:rPr>
            </w:pPr>
            <w:r>
              <w:rPr>
                <w:rFonts w:hint="eastAsia" w:ascii="仿宋" w:hAnsi="仿宋" w:eastAsia="仿宋"/>
                <w:kern w:val="0"/>
                <w:sz w:val="24"/>
              </w:rPr>
              <w:t>（2）油烟管道清洗后，不残留顽固的块状油污，达到90以上烟道呈原有的内壁铁皮色。</w:t>
            </w:r>
          </w:p>
          <w:p w14:paraId="237CEEB0">
            <w:pPr>
              <w:widowControl/>
              <w:spacing w:line="480" w:lineRule="exact"/>
              <w:jc w:val="left"/>
              <w:rPr>
                <w:rFonts w:ascii="仿宋" w:hAnsi="仿宋" w:eastAsia="仿宋"/>
                <w:kern w:val="0"/>
                <w:sz w:val="24"/>
              </w:rPr>
            </w:pPr>
            <w:r>
              <w:rPr>
                <w:rFonts w:hint="eastAsia" w:ascii="仿宋" w:hAnsi="仿宋" w:eastAsia="仿宋"/>
                <w:kern w:val="0"/>
                <w:sz w:val="24"/>
              </w:rPr>
              <w:t>（3）风机叶轮清洗后达到表面90%以上能够见到底漆，电机底部无沉淀的油污。</w:t>
            </w:r>
          </w:p>
          <w:p w14:paraId="1803DC49">
            <w:pPr>
              <w:widowControl/>
              <w:spacing w:line="480" w:lineRule="exact"/>
              <w:jc w:val="left"/>
              <w:rPr>
                <w:rFonts w:ascii="仿宋" w:hAnsi="仿宋" w:eastAsia="仿宋"/>
                <w:kern w:val="0"/>
                <w:sz w:val="24"/>
              </w:rPr>
            </w:pPr>
            <w:r>
              <w:rPr>
                <w:rFonts w:hint="eastAsia" w:ascii="仿宋" w:hAnsi="仿宋" w:eastAsia="仿宋"/>
                <w:kern w:val="0"/>
                <w:sz w:val="24"/>
              </w:rPr>
              <w:t>（4）净化器清洗后无油污堵塞过滤网，达到表面90%以上能够见到底漆。</w:t>
            </w:r>
          </w:p>
          <w:p w14:paraId="1094F405">
            <w:pPr>
              <w:widowControl/>
              <w:spacing w:line="480" w:lineRule="exact"/>
              <w:jc w:val="left"/>
              <w:rPr>
                <w:rFonts w:ascii="仿宋" w:hAnsi="仿宋" w:eastAsia="仿宋"/>
                <w:kern w:val="0"/>
                <w:sz w:val="24"/>
              </w:rPr>
            </w:pPr>
            <w:r>
              <w:rPr>
                <w:rFonts w:hint="eastAsia" w:ascii="仿宋" w:hAnsi="仿宋" w:eastAsia="仿宋"/>
                <w:kern w:val="0"/>
                <w:sz w:val="24"/>
              </w:rPr>
              <w:t>（5）被清洗设施若有腐蚀部分，须清除腐蚀部分的痕迹后，按行业标准养护。</w:t>
            </w:r>
          </w:p>
          <w:p w14:paraId="2C3E84FD">
            <w:pPr>
              <w:widowControl/>
              <w:spacing w:line="480" w:lineRule="exact"/>
              <w:jc w:val="left"/>
              <w:rPr>
                <w:rFonts w:ascii="仿宋" w:hAnsi="仿宋" w:eastAsia="仿宋"/>
                <w:kern w:val="0"/>
                <w:sz w:val="24"/>
              </w:rPr>
            </w:pPr>
            <w:r>
              <w:rPr>
                <w:rFonts w:hint="eastAsia" w:ascii="仿宋" w:hAnsi="仿宋" w:eastAsia="仿宋"/>
                <w:kern w:val="0"/>
                <w:sz w:val="24"/>
              </w:rPr>
              <w:t>（6）灭蟑标准</w:t>
            </w:r>
          </w:p>
          <w:p w14:paraId="0D880DF7">
            <w:pPr>
              <w:widowControl/>
              <w:spacing w:line="480" w:lineRule="exact"/>
              <w:jc w:val="left"/>
              <w:rPr>
                <w:rFonts w:ascii="仿宋" w:hAnsi="仿宋" w:eastAsia="仿宋"/>
                <w:kern w:val="0"/>
                <w:sz w:val="24"/>
              </w:rPr>
            </w:pPr>
            <w:r>
              <w:rPr>
                <w:rFonts w:hint="eastAsia" w:ascii="仿宋" w:hAnsi="仿宋" w:eastAsia="仿宋"/>
                <w:kern w:val="0"/>
                <w:sz w:val="24"/>
              </w:rPr>
              <w:t>室内有蟑螂成虫或若虫阳性房间不超过3%，平均每间房大蠊不超过2只、小蠊不超过4只。有活体蟑螂卵鞘房间不超过2%，平均每间房间不超过3只。有蟑螂粪便、蜕皮等蟑迹的房间不超过2%。以上检测有效期限夏季为作业后30日，冬季为作业后45日。</w:t>
            </w:r>
          </w:p>
          <w:p w14:paraId="0381336E">
            <w:pPr>
              <w:widowControl/>
              <w:spacing w:line="480" w:lineRule="exact"/>
              <w:jc w:val="left"/>
              <w:rPr>
                <w:rFonts w:ascii="仿宋" w:hAnsi="仿宋" w:eastAsia="仿宋"/>
                <w:kern w:val="0"/>
                <w:sz w:val="24"/>
              </w:rPr>
            </w:pPr>
            <w:r>
              <w:rPr>
                <w:rFonts w:hint="eastAsia" w:ascii="仿宋" w:hAnsi="仿宋" w:eastAsia="仿宋"/>
                <w:kern w:val="0"/>
                <w:sz w:val="24"/>
              </w:rPr>
              <w:t>（7）灭鼠标准</w:t>
            </w:r>
          </w:p>
          <w:p w14:paraId="4D2328D3">
            <w:pPr>
              <w:widowControl/>
              <w:spacing w:line="480" w:lineRule="exact"/>
              <w:jc w:val="left"/>
              <w:rPr>
                <w:rFonts w:ascii="仿宋" w:hAnsi="仿宋" w:eastAsia="仿宋"/>
                <w:kern w:val="0"/>
                <w:sz w:val="24"/>
              </w:rPr>
            </w:pPr>
            <w:r>
              <w:rPr>
                <w:rFonts w:hint="eastAsia" w:ascii="仿宋" w:hAnsi="仿宋" w:eastAsia="仿宋"/>
                <w:kern w:val="0"/>
                <w:sz w:val="24"/>
              </w:rPr>
              <w:t>15平方米标准房间布放20×20厘米滑石粉块，一夜后阳性粉块不超过3%。有鼠洞、鼠粪、鼠咬痕内等鼠迹的房间不超过2%。重点区域防鼠设施不合格处不超过3%。不同类型的外环境累计2000米，鼠迹不超过2处。以上检测有效期限夏季为作业后30日，冬季为作业后45日。</w:t>
            </w:r>
          </w:p>
          <w:p w14:paraId="5E6B2AE4">
            <w:pPr>
              <w:widowControl/>
              <w:spacing w:line="480" w:lineRule="exact"/>
              <w:jc w:val="left"/>
              <w:rPr>
                <w:rFonts w:ascii="仿宋" w:hAnsi="仿宋" w:eastAsia="仿宋"/>
                <w:kern w:val="0"/>
                <w:sz w:val="24"/>
              </w:rPr>
            </w:pPr>
            <w:r>
              <w:rPr>
                <w:rFonts w:hint="eastAsia" w:ascii="仿宋" w:hAnsi="仿宋" w:eastAsia="仿宋"/>
                <w:kern w:val="0"/>
                <w:sz w:val="24"/>
              </w:rPr>
              <w:t>（8）灭蝇标准</w:t>
            </w:r>
          </w:p>
          <w:p w14:paraId="65246E1D">
            <w:pPr>
              <w:widowControl/>
              <w:spacing w:line="480" w:lineRule="exact"/>
              <w:jc w:val="left"/>
              <w:rPr>
                <w:rFonts w:ascii="仿宋" w:hAnsi="仿宋" w:eastAsia="仿宋"/>
                <w:kern w:val="0"/>
                <w:sz w:val="24"/>
              </w:rPr>
            </w:pPr>
            <w:r>
              <w:rPr>
                <w:rFonts w:hint="eastAsia" w:ascii="仿宋" w:hAnsi="仿宋" w:eastAsia="仿宋"/>
                <w:kern w:val="0"/>
                <w:sz w:val="24"/>
              </w:rPr>
              <w:t>重点区域有蝇房间不超过1%，其他区域不超过3%，平均每阳性房间不超过2只，重点区域防蝇设施不合格房间不超过3%，加工、销售直接入口食品的场所不得有蝇。蝇类孳生地得到有效治理，幼虫和蛹的检出率不超过2%。以上检测期限夏季为作业后24小时，冬季为72小时。</w:t>
            </w:r>
          </w:p>
          <w:p w14:paraId="21322481">
            <w:pPr>
              <w:widowControl/>
              <w:spacing w:line="480" w:lineRule="exact"/>
              <w:jc w:val="left"/>
              <w:rPr>
                <w:rFonts w:ascii="仿宋" w:hAnsi="仿宋" w:eastAsia="仿宋"/>
                <w:kern w:val="0"/>
                <w:sz w:val="24"/>
              </w:rPr>
            </w:pPr>
            <w:r>
              <w:rPr>
                <w:rFonts w:hint="eastAsia" w:ascii="仿宋" w:hAnsi="仿宋" w:eastAsia="仿宋"/>
                <w:kern w:val="0"/>
                <w:sz w:val="24"/>
              </w:rPr>
              <w:t>（9）灭蚊标准</w:t>
            </w:r>
          </w:p>
          <w:p w14:paraId="161828CB">
            <w:pPr>
              <w:widowControl/>
              <w:spacing w:line="480" w:lineRule="exact"/>
              <w:jc w:val="left"/>
              <w:rPr>
                <w:rFonts w:ascii="仿宋" w:hAnsi="仿宋" w:eastAsia="仿宋"/>
                <w:kern w:val="0"/>
                <w:sz w:val="24"/>
              </w:rPr>
            </w:pPr>
            <w:r>
              <w:rPr>
                <w:rFonts w:hint="eastAsia" w:ascii="仿宋" w:hAnsi="仿宋" w:eastAsia="仿宋"/>
                <w:kern w:val="0"/>
                <w:sz w:val="24"/>
              </w:rPr>
              <w:t>食堂内外环境各种存水容器或积水中，蚊幼及蛹的阳性率不超过3%。用500ML收集勺采集相关区域水体中的蚊幼或蛹阳性率不超过3%，阳性勺内幼虫或蛹的平均数不超过3只。食堂厨房及餐厅就餐区白天人诱蚊30分钟，平均每人次诱获成蚊数不超过1只。以上检测期限为夏季作业后24小时，冬季作业后72小时。</w:t>
            </w:r>
          </w:p>
          <w:p w14:paraId="0FA6ED11">
            <w:pPr>
              <w:widowControl/>
              <w:spacing w:line="480" w:lineRule="exact"/>
              <w:jc w:val="left"/>
              <w:rPr>
                <w:rFonts w:ascii="仿宋" w:hAnsi="仿宋" w:eastAsia="仿宋"/>
                <w:kern w:val="0"/>
                <w:sz w:val="24"/>
              </w:rPr>
            </w:pPr>
            <w:r>
              <w:rPr>
                <w:rFonts w:hint="eastAsia" w:ascii="仿宋" w:hAnsi="仿宋" w:eastAsia="仿宋"/>
                <w:kern w:val="0"/>
                <w:sz w:val="24"/>
              </w:rPr>
              <w:t>5.其他要求</w:t>
            </w:r>
          </w:p>
          <w:p w14:paraId="7C292BE4">
            <w:pPr>
              <w:widowControl/>
              <w:spacing w:line="480" w:lineRule="exact"/>
              <w:jc w:val="left"/>
              <w:rPr>
                <w:rFonts w:ascii="仿宋" w:hAnsi="仿宋" w:eastAsia="仿宋"/>
                <w:kern w:val="0"/>
                <w:sz w:val="24"/>
              </w:rPr>
            </w:pPr>
            <w:r>
              <w:rPr>
                <w:rFonts w:hint="eastAsia" w:ascii="仿宋" w:hAnsi="仿宋" w:eastAsia="仿宋"/>
                <w:kern w:val="0"/>
                <w:sz w:val="24"/>
              </w:rPr>
              <w:t>（1）参与清洗人员要服从采购方食堂管理人员指令，双方进行充分沟通，保质保量完成食堂厨房设施清洗服务。</w:t>
            </w:r>
          </w:p>
          <w:p w14:paraId="4CCC1EC9">
            <w:pPr>
              <w:widowControl/>
              <w:spacing w:line="480" w:lineRule="exact"/>
              <w:jc w:val="left"/>
              <w:rPr>
                <w:rFonts w:ascii="仿宋" w:hAnsi="仿宋" w:eastAsia="仿宋"/>
                <w:kern w:val="0"/>
                <w:sz w:val="24"/>
              </w:rPr>
            </w:pPr>
            <w:r>
              <w:rPr>
                <w:rFonts w:hint="eastAsia" w:ascii="仿宋" w:hAnsi="仿宋" w:eastAsia="仿宋"/>
                <w:kern w:val="0"/>
                <w:sz w:val="24"/>
              </w:rPr>
              <w:t>（2）参与清洗人员应当着装整洁干净，全程佩戴口罩、手套，鞋套等卫生用品，出入厨房需进行安全消毒措施。</w:t>
            </w:r>
          </w:p>
          <w:p w14:paraId="07525859">
            <w:pPr>
              <w:widowControl/>
              <w:spacing w:line="480" w:lineRule="exact"/>
              <w:jc w:val="left"/>
              <w:rPr>
                <w:rFonts w:ascii="仿宋" w:hAnsi="仿宋" w:eastAsia="仿宋"/>
                <w:kern w:val="0"/>
                <w:sz w:val="24"/>
              </w:rPr>
            </w:pPr>
            <w:r>
              <w:rPr>
                <w:rFonts w:hint="eastAsia" w:ascii="仿宋" w:hAnsi="仿宋" w:eastAsia="仿宋"/>
                <w:kern w:val="0"/>
                <w:sz w:val="24"/>
              </w:rPr>
              <w:t>（3）执行灭虫作业的工作人员须服从采购方食堂管理人员指令，双方应就灭虫过程注意事项进行充分沟通，以保障作业过程的人身、食品安全。</w:t>
            </w:r>
          </w:p>
          <w:p w14:paraId="7EA7DCFB">
            <w:pPr>
              <w:widowControl/>
              <w:spacing w:line="480" w:lineRule="exact"/>
              <w:jc w:val="left"/>
              <w:rPr>
                <w:rFonts w:ascii="仿宋" w:hAnsi="仿宋" w:eastAsia="仿宋"/>
                <w:kern w:val="0"/>
                <w:sz w:val="24"/>
              </w:rPr>
            </w:pPr>
            <w:r>
              <w:rPr>
                <w:rFonts w:hint="eastAsia" w:ascii="仿宋" w:hAnsi="仿宋" w:eastAsia="仿宋"/>
                <w:kern w:val="0"/>
                <w:sz w:val="24"/>
              </w:rPr>
              <w:t>（4）灭虫作业过程中使用器具、药物应符合国家食品安全相关标准和卫生安全相关标准，不得使用违禁违规药品和方法，不得过量超范围使用药品，不得在食堂区域以外进行作业。</w:t>
            </w:r>
          </w:p>
          <w:p w14:paraId="6959FA8E">
            <w:pPr>
              <w:widowControl/>
              <w:spacing w:line="480" w:lineRule="exact"/>
              <w:jc w:val="left"/>
              <w:rPr>
                <w:rFonts w:ascii="仿宋" w:hAnsi="仿宋" w:eastAsia="仿宋"/>
                <w:kern w:val="0"/>
                <w:sz w:val="24"/>
              </w:rPr>
            </w:pPr>
            <w:r>
              <w:rPr>
                <w:rFonts w:hint="eastAsia" w:ascii="仿宋" w:hAnsi="仿宋" w:eastAsia="仿宋"/>
                <w:kern w:val="0"/>
                <w:sz w:val="24"/>
              </w:rPr>
              <w:t>（5）作业服务相关标准、要求以本公告约定为准，并作为合同签订的基本原则，同时具体服务时间、频率分配、双方权利、检测时间和方式等细节条款由双方协商而定。</w:t>
            </w:r>
          </w:p>
        </w:tc>
      </w:tr>
      <w:tr w14:paraId="259D0BD5">
        <w:tblPrEx>
          <w:tblCellMar>
            <w:top w:w="0" w:type="dxa"/>
            <w:left w:w="108" w:type="dxa"/>
            <w:bottom w:w="0" w:type="dxa"/>
            <w:right w:w="108" w:type="dxa"/>
          </w:tblCellMar>
        </w:tblPrEx>
        <w:trPr>
          <w:trHeight w:val="582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8EFAB3A">
            <w:pPr>
              <w:widowControl/>
              <w:spacing w:line="480" w:lineRule="exact"/>
              <w:jc w:val="center"/>
              <w:rPr>
                <w:rFonts w:ascii="仿宋" w:hAnsi="仿宋" w:eastAsia="仿宋"/>
                <w:b/>
                <w:bCs/>
                <w:kern w:val="0"/>
                <w:sz w:val="24"/>
              </w:rPr>
            </w:pPr>
            <w:r>
              <w:rPr>
                <w:rFonts w:hint="eastAsia" w:ascii="仿宋" w:hAnsi="仿宋" w:eastAsia="仿宋"/>
                <w:kern w:val="0"/>
                <w:sz w:val="24"/>
              </w:rPr>
              <w:t>6</w:t>
            </w:r>
          </w:p>
        </w:tc>
        <w:tc>
          <w:tcPr>
            <w:tcW w:w="1487" w:type="dxa"/>
            <w:tcBorders>
              <w:top w:val="single" w:color="000000" w:sz="4" w:space="0"/>
              <w:left w:val="nil"/>
              <w:bottom w:val="single" w:color="000000" w:sz="4" w:space="0"/>
              <w:right w:val="single" w:color="000000" w:sz="4" w:space="0"/>
            </w:tcBorders>
            <w:vAlign w:val="center"/>
          </w:tcPr>
          <w:p w14:paraId="3F5B5453">
            <w:pPr>
              <w:widowControl/>
              <w:spacing w:line="480" w:lineRule="exact"/>
              <w:jc w:val="center"/>
              <w:rPr>
                <w:rFonts w:ascii="仿宋" w:hAnsi="仿宋" w:eastAsia="仿宋"/>
                <w:sz w:val="24"/>
              </w:rPr>
            </w:pPr>
            <w:r>
              <w:rPr>
                <w:rFonts w:hint="eastAsia" w:ascii="仿宋" w:hAnsi="仿宋" w:eastAsia="仿宋"/>
                <w:sz w:val="24"/>
              </w:rPr>
              <w:t>资格要求</w:t>
            </w:r>
          </w:p>
        </w:tc>
        <w:tc>
          <w:tcPr>
            <w:tcW w:w="7202" w:type="dxa"/>
            <w:tcBorders>
              <w:top w:val="single" w:color="000000" w:sz="4" w:space="0"/>
              <w:left w:val="nil"/>
              <w:bottom w:val="single" w:color="000000" w:sz="4" w:space="0"/>
              <w:right w:val="single" w:color="000000" w:sz="4" w:space="0"/>
            </w:tcBorders>
            <w:vAlign w:val="center"/>
          </w:tcPr>
          <w:p w14:paraId="62D0FD47">
            <w:pPr>
              <w:widowControl/>
              <w:spacing w:line="480" w:lineRule="exact"/>
              <w:rPr>
                <w:rFonts w:ascii="仿宋" w:hAnsi="仿宋" w:eastAsia="仿宋"/>
                <w:sz w:val="24"/>
              </w:rPr>
            </w:pPr>
            <w:r>
              <w:rPr>
                <w:rFonts w:ascii="仿宋" w:hAnsi="仿宋" w:eastAsia="仿宋"/>
                <w:sz w:val="24"/>
              </w:rPr>
              <w:t>1.参选单位具有独立承担民事责任能力法人资格，并依法取得营业执照（营业执照应在有效期内）。</w:t>
            </w:r>
          </w:p>
          <w:p w14:paraId="3ED0DBA7">
            <w:pPr>
              <w:widowControl/>
              <w:spacing w:line="480" w:lineRule="exact"/>
              <w:rPr>
                <w:rFonts w:ascii="仿宋" w:hAnsi="仿宋" w:eastAsia="仿宋"/>
                <w:sz w:val="24"/>
              </w:rPr>
            </w:pPr>
            <w:r>
              <w:rPr>
                <w:rFonts w:ascii="仿宋" w:hAnsi="仿宋" w:eastAsia="仿宋"/>
                <w:sz w:val="24"/>
              </w:rPr>
              <w:t>2.</w:t>
            </w:r>
            <w:r>
              <w:rPr>
                <w:rFonts w:hint="eastAsia" w:ascii="仿宋" w:hAnsi="仿宋" w:eastAsia="仿宋"/>
                <w:sz w:val="24"/>
                <w:szCs w:val="24"/>
              </w:rPr>
              <w:t>参选单位</w:t>
            </w:r>
            <w:r>
              <w:rPr>
                <w:rFonts w:hint="eastAsia" w:ascii="仿宋" w:hAnsi="仿宋" w:eastAsia="仿宋" w:cs="Times New Roman"/>
                <w:sz w:val="24"/>
                <w:szCs w:val="24"/>
              </w:rPr>
              <w:t>近三年内，在经营活动中无不良行为记录</w:t>
            </w:r>
            <w:r>
              <w:rPr>
                <w:rFonts w:ascii="仿宋" w:hAnsi="仿宋" w:eastAsia="仿宋"/>
                <w:sz w:val="24"/>
              </w:rPr>
              <w:t>。</w:t>
            </w:r>
          </w:p>
          <w:p w14:paraId="31516F4C">
            <w:pPr>
              <w:widowControl/>
              <w:spacing w:line="480" w:lineRule="exact"/>
              <w:rPr>
                <w:rFonts w:ascii="仿宋" w:hAnsi="仿宋" w:eastAsia="仿宋"/>
                <w:sz w:val="24"/>
              </w:rPr>
            </w:pPr>
            <w:r>
              <w:rPr>
                <w:rFonts w:ascii="仿宋" w:hAnsi="仿宋" w:eastAsia="仿宋"/>
                <w:sz w:val="24"/>
              </w:rPr>
              <w:t>3.参选单位从2021年1月1日至2024年10月31日须至少具备1项同类业绩。</w:t>
            </w:r>
          </w:p>
          <w:p w14:paraId="79EAD9B3">
            <w:pPr>
              <w:widowControl/>
              <w:spacing w:line="480" w:lineRule="exact"/>
              <w:rPr>
                <w:rFonts w:ascii="仿宋" w:hAnsi="仿宋" w:eastAsia="仿宋"/>
                <w:sz w:val="24"/>
              </w:rPr>
            </w:pPr>
            <w:r>
              <w:rPr>
                <w:rFonts w:ascii="仿宋" w:hAnsi="仿宋" w:eastAsia="仿宋"/>
                <w:sz w:val="24"/>
              </w:rPr>
              <w:t>同类业绩界定：油烟管道等厨房设施清洗、油水分离器（隔油池）清运、化粪池清掏以及杀虫灭害的服务业绩。参选单位应独立完成并提供至少1份完整版合同复印件（可提供多份合同），并能明确体现出用于判断同类项目业绩的相关信息，业绩时间以合同签订时间为准。</w:t>
            </w:r>
          </w:p>
          <w:p w14:paraId="5A5BC4DB">
            <w:pPr>
              <w:widowControl/>
              <w:spacing w:line="480" w:lineRule="exact"/>
              <w:rPr>
                <w:rFonts w:ascii="仿宋" w:hAnsi="仿宋" w:eastAsia="仿宋"/>
                <w:sz w:val="24"/>
              </w:rPr>
            </w:pPr>
            <w:r>
              <w:rPr>
                <w:rFonts w:ascii="仿宋" w:hAnsi="仿宋" w:eastAsia="仿宋"/>
                <w:sz w:val="24"/>
              </w:rPr>
              <w:t>4.本项目不接受联合体参加。</w:t>
            </w:r>
          </w:p>
        </w:tc>
      </w:tr>
      <w:tr w14:paraId="10F2458A">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B2E3DFD">
            <w:pPr>
              <w:widowControl/>
              <w:spacing w:line="480" w:lineRule="exact"/>
              <w:jc w:val="center"/>
              <w:rPr>
                <w:rFonts w:ascii="仿宋" w:hAnsi="仿宋" w:eastAsia="仿宋"/>
                <w:kern w:val="0"/>
                <w:sz w:val="24"/>
              </w:rPr>
            </w:pPr>
            <w:r>
              <w:rPr>
                <w:rFonts w:hint="eastAsia" w:ascii="仿宋" w:hAnsi="仿宋" w:eastAsia="仿宋"/>
                <w:kern w:val="0"/>
                <w:sz w:val="24"/>
              </w:rPr>
              <w:t>7</w:t>
            </w:r>
          </w:p>
        </w:tc>
        <w:tc>
          <w:tcPr>
            <w:tcW w:w="1487" w:type="dxa"/>
            <w:tcBorders>
              <w:top w:val="single" w:color="000000" w:sz="4" w:space="0"/>
              <w:left w:val="nil"/>
              <w:bottom w:val="single" w:color="000000" w:sz="4" w:space="0"/>
              <w:right w:val="single" w:color="000000" w:sz="4" w:space="0"/>
            </w:tcBorders>
          </w:tcPr>
          <w:p w14:paraId="1D2F2D46">
            <w:pPr>
              <w:widowControl/>
              <w:spacing w:line="480" w:lineRule="exact"/>
              <w:rPr>
                <w:rFonts w:ascii="仿宋" w:hAnsi="仿宋" w:eastAsia="仿宋"/>
                <w:kern w:val="0"/>
                <w:sz w:val="24"/>
              </w:rPr>
            </w:pPr>
            <w:r>
              <w:rPr>
                <w:rFonts w:ascii="仿宋" w:hAnsi="仿宋" w:eastAsia="仿宋"/>
                <w:szCs w:val="21"/>
              </w:rPr>
              <w:t>参选人</w:t>
            </w:r>
            <w:r>
              <w:rPr>
                <w:rFonts w:hint="eastAsia" w:ascii="仿宋" w:hAnsi="仿宋" w:eastAsia="仿宋"/>
                <w:kern w:val="0"/>
                <w:szCs w:val="21"/>
              </w:rPr>
              <w:t>提出问题的截止时间</w:t>
            </w:r>
          </w:p>
        </w:tc>
        <w:tc>
          <w:tcPr>
            <w:tcW w:w="7202" w:type="dxa"/>
            <w:tcBorders>
              <w:top w:val="single" w:color="000000" w:sz="4" w:space="0"/>
              <w:left w:val="nil"/>
              <w:bottom w:val="single" w:color="000000" w:sz="4" w:space="0"/>
              <w:right w:val="single" w:color="000000" w:sz="4" w:space="0"/>
            </w:tcBorders>
            <w:vAlign w:val="center"/>
          </w:tcPr>
          <w:p w14:paraId="72882B44">
            <w:pPr>
              <w:widowControl/>
              <w:spacing w:line="480" w:lineRule="exact"/>
              <w:rPr>
                <w:rFonts w:ascii="仿宋" w:hAnsi="仿宋" w:eastAsia="仿宋"/>
                <w:kern w:val="0"/>
                <w:sz w:val="24"/>
              </w:rPr>
            </w:pPr>
            <w:r>
              <w:rPr>
                <w:rFonts w:hint="eastAsia" w:ascii="仿宋" w:hAnsi="仿宋" w:eastAsia="仿宋"/>
                <w:kern w:val="0"/>
                <w:sz w:val="24"/>
              </w:rPr>
              <w:t>2024年</w:t>
            </w:r>
            <w:r>
              <w:rPr>
                <w:rFonts w:hint="eastAsia" w:ascii="仿宋" w:hAnsi="仿宋" w:eastAsia="仿宋"/>
                <w:kern w:val="0"/>
                <w:sz w:val="24"/>
                <w:lang w:val="en-US" w:eastAsia="zh-CN"/>
              </w:rPr>
              <w:t>11</w:t>
            </w:r>
            <w:r>
              <w:rPr>
                <w:rFonts w:hint="eastAsia" w:ascii="仿宋" w:hAnsi="仿宋" w:eastAsia="仿宋"/>
                <w:kern w:val="0"/>
                <w:sz w:val="24"/>
              </w:rPr>
              <w:t>月</w:t>
            </w:r>
            <w:r>
              <w:rPr>
                <w:rFonts w:hint="eastAsia" w:ascii="仿宋" w:hAnsi="仿宋" w:eastAsia="仿宋"/>
                <w:kern w:val="0"/>
                <w:sz w:val="24"/>
                <w:lang w:val="en-US" w:eastAsia="zh-CN"/>
              </w:rPr>
              <w:t>22</w:t>
            </w:r>
            <w:r>
              <w:rPr>
                <w:rFonts w:hint="eastAsia" w:ascii="仿宋" w:hAnsi="仿宋" w:eastAsia="仿宋"/>
                <w:kern w:val="0"/>
                <w:sz w:val="24"/>
              </w:rPr>
              <w:t>日下午17:00前</w:t>
            </w:r>
          </w:p>
        </w:tc>
      </w:tr>
      <w:tr w14:paraId="42E35D97">
        <w:tblPrEx>
          <w:tblCellMar>
            <w:top w:w="0" w:type="dxa"/>
            <w:left w:w="108" w:type="dxa"/>
            <w:bottom w:w="0" w:type="dxa"/>
            <w:right w:w="108" w:type="dxa"/>
          </w:tblCellMar>
        </w:tblPrEx>
        <w:trPr>
          <w:trHeight w:val="280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A4A6823">
            <w:pPr>
              <w:widowControl/>
              <w:spacing w:line="480" w:lineRule="exact"/>
              <w:jc w:val="center"/>
              <w:rPr>
                <w:rFonts w:ascii="仿宋" w:hAnsi="仿宋" w:eastAsia="仿宋"/>
                <w:kern w:val="0"/>
                <w:sz w:val="24"/>
              </w:rPr>
            </w:pPr>
            <w:r>
              <w:rPr>
                <w:rFonts w:hint="eastAsia" w:ascii="仿宋" w:hAnsi="仿宋" w:eastAsia="仿宋"/>
                <w:kern w:val="0"/>
                <w:sz w:val="24"/>
              </w:rPr>
              <w:t>8</w:t>
            </w:r>
          </w:p>
        </w:tc>
        <w:tc>
          <w:tcPr>
            <w:tcW w:w="1487" w:type="dxa"/>
            <w:tcBorders>
              <w:top w:val="single" w:color="000000" w:sz="4" w:space="0"/>
              <w:left w:val="nil"/>
              <w:bottom w:val="single" w:color="000000" w:sz="4" w:space="0"/>
              <w:right w:val="single" w:color="000000" w:sz="4" w:space="0"/>
            </w:tcBorders>
            <w:vAlign w:val="center"/>
          </w:tcPr>
          <w:p w14:paraId="2D2A7F67">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14:paraId="38D754CA">
            <w:pPr>
              <w:widowControl/>
              <w:spacing w:line="480" w:lineRule="exact"/>
              <w:rPr>
                <w:rFonts w:ascii="仿宋" w:hAnsi="仿宋" w:eastAsia="仿宋"/>
                <w:kern w:val="0"/>
                <w:sz w:val="24"/>
              </w:rPr>
            </w:pPr>
            <w:r>
              <w:rPr>
                <w:rFonts w:hint="eastAsia" w:ascii="仿宋" w:hAnsi="仿宋" w:eastAsia="仿宋"/>
                <w:kern w:val="0"/>
                <w:sz w:val="24"/>
              </w:rPr>
              <w:t>在收到相应文件后24小时内</w:t>
            </w:r>
          </w:p>
        </w:tc>
      </w:tr>
      <w:tr w14:paraId="671E4AAF">
        <w:tblPrEx>
          <w:tblCellMar>
            <w:top w:w="0" w:type="dxa"/>
            <w:left w:w="108" w:type="dxa"/>
            <w:bottom w:w="0" w:type="dxa"/>
            <w:right w:w="108" w:type="dxa"/>
          </w:tblCellMar>
        </w:tblPrEx>
        <w:trPr>
          <w:trHeight w:val="133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0248CF1">
            <w:pPr>
              <w:widowControl/>
              <w:spacing w:line="480" w:lineRule="exact"/>
              <w:jc w:val="center"/>
              <w:rPr>
                <w:rFonts w:ascii="仿宋" w:hAnsi="仿宋" w:eastAsia="仿宋"/>
                <w:kern w:val="0"/>
                <w:sz w:val="24"/>
              </w:rPr>
            </w:pPr>
            <w:r>
              <w:rPr>
                <w:rFonts w:hint="eastAsia" w:ascii="仿宋" w:hAnsi="仿宋" w:eastAsia="仿宋"/>
                <w:kern w:val="0"/>
                <w:sz w:val="24"/>
              </w:rPr>
              <w:t>9</w:t>
            </w:r>
          </w:p>
        </w:tc>
        <w:tc>
          <w:tcPr>
            <w:tcW w:w="1487" w:type="dxa"/>
            <w:tcBorders>
              <w:top w:val="single" w:color="000000" w:sz="4" w:space="0"/>
              <w:left w:val="nil"/>
              <w:bottom w:val="single" w:color="000000" w:sz="4" w:space="0"/>
              <w:right w:val="single" w:color="000000" w:sz="4" w:space="0"/>
            </w:tcBorders>
            <w:vAlign w:val="center"/>
          </w:tcPr>
          <w:p w14:paraId="7B5D7680">
            <w:pPr>
              <w:widowControl/>
              <w:spacing w:line="480" w:lineRule="exact"/>
              <w:rPr>
                <w:rFonts w:ascii="仿宋" w:hAnsi="仿宋" w:eastAsia="仿宋"/>
                <w:kern w:val="0"/>
                <w:sz w:val="24"/>
              </w:rPr>
            </w:pPr>
            <w:r>
              <w:rPr>
                <w:rFonts w:hint="eastAsia" w:ascii="仿宋" w:hAnsi="仿宋" w:eastAsia="仿宋"/>
                <w:kern w:val="0"/>
                <w:sz w:val="24"/>
              </w:rPr>
              <w:t>递交参选文件截止时间及地点</w:t>
            </w:r>
          </w:p>
        </w:tc>
        <w:tc>
          <w:tcPr>
            <w:tcW w:w="7202" w:type="dxa"/>
            <w:tcBorders>
              <w:top w:val="single" w:color="000000" w:sz="4" w:space="0"/>
              <w:left w:val="nil"/>
              <w:bottom w:val="single" w:color="000000" w:sz="4" w:space="0"/>
              <w:right w:val="single" w:color="000000" w:sz="4" w:space="0"/>
            </w:tcBorders>
            <w:vAlign w:val="center"/>
          </w:tcPr>
          <w:p w14:paraId="75C4F9E3">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11</w:t>
            </w:r>
            <w:r>
              <w:rPr>
                <w:rFonts w:hint="eastAsia" w:ascii="仿宋" w:hAnsi="仿宋" w:eastAsia="仿宋"/>
                <w:kern w:val="0"/>
                <w:sz w:val="24"/>
              </w:rPr>
              <w:t>月</w:t>
            </w:r>
            <w:r>
              <w:rPr>
                <w:rFonts w:hint="eastAsia" w:ascii="仿宋" w:hAnsi="仿宋" w:eastAsia="仿宋"/>
                <w:kern w:val="0"/>
                <w:sz w:val="24"/>
                <w:lang w:val="en-US" w:eastAsia="zh-CN"/>
              </w:rPr>
              <w:t>25</w:t>
            </w:r>
            <w:r>
              <w:rPr>
                <w:rFonts w:hint="eastAsia" w:ascii="仿宋" w:hAnsi="仿宋" w:eastAsia="仿宋"/>
                <w:kern w:val="0"/>
                <w:sz w:val="24"/>
              </w:rPr>
              <w:t>日</w:t>
            </w:r>
            <w:r>
              <w:rPr>
                <w:rFonts w:hint="eastAsia" w:ascii="仿宋" w:hAnsi="仿宋" w:eastAsia="仿宋"/>
                <w:kern w:val="0"/>
                <w:sz w:val="24"/>
                <w:lang w:val="en-US" w:eastAsia="zh-CN"/>
              </w:rPr>
              <w:t>上午9：00</w:t>
            </w:r>
            <w:r>
              <w:rPr>
                <w:rFonts w:hint="eastAsia" w:ascii="仿宋" w:hAnsi="仿宋" w:eastAsia="仿宋"/>
                <w:kern w:val="0"/>
                <w:sz w:val="24"/>
              </w:rPr>
              <w:t>分（若有变动，另行通知）</w:t>
            </w:r>
          </w:p>
          <w:p w14:paraId="702E0CCE">
            <w:pPr>
              <w:widowControl/>
              <w:spacing w:line="480" w:lineRule="exact"/>
              <w:rPr>
                <w:rFonts w:ascii="仿宋" w:hAnsi="仿宋" w:eastAsia="仿宋"/>
                <w:kern w:val="0"/>
                <w:sz w:val="24"/>
              </w:rPr>
            </w:pPr>
            <w:r>
              <w:rPr>
                <w:rFonts w:hint="eastAsia" w:ascii="仿宋" w:hAnsi="仿宋" w:eastAsia="仿宋"/>
                <w:kern w:val="0"/>
                <w:sz w:val="24"/>
              </w:rPr>
              <w:t>地点：衡阳国有资产投资控股有限公司4栋3楼评标室</w:t>
            </w:r>
          </w:p>
        </w:tc>
      </w:tr>
      <w:tr w14:paraId="5B11B2F3">
        <w:tblPrEx>
          <w:tblCellMar>
            <w:top w:w="0" w:type="dxa"/>
            <w:left w:w="108" w:type="dxa"/>
            <w:bottom w:w="0" w:type="dxa"/>
            <w:right w:w="108" w:type="dxa"/>
          </w:tblCellMar>
        </w:tblPrEx>
        <w:trPr>
          <w:trHeight w:val="128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62CB171">
            <w:pPr>
              <w:widowControl/>
              <w:spacing w:line="480" w:lineRule="exact"/>
              <w:jc w:val="center"/>
              <w:rPr>
                <w:rFonts w:ascii="仿宋" w:hAnsi="仿宋" w:eastAsia="仿宋"/>
                <w:kern w:val="0"/>
                <w:sz w:val="24"/>
              </w:rPr>
            </w:pPr>
            <w:r>
              <w:rPr>
                <w:rFonts w:hint="eastAsia" w:ascii="仿宋" w:hAnsi="仿宋" w:eastAsia="仿宋"/>
                <w:kern w:val="0"/>
                <w:sz w:val="24"/>
              </w:rPr>
              <w:t>10</w:t>
            </w:r>
          </w:p>
        </w:tc>
        <w:tc>
          <w:tcPr>
            <w:tcW w:w="1487" w:type="dxa"/>
            <w:tcBorders>
              <w:top w:val="single" w:color="000000" w:sz="4" w:space="0"/>
              <w:left w:val="nil"/>
              <w:bottom w:val="single" w:color="000000" w:sz="4" w:space="0"/>
              <w:right w:val="single" w:color="000000" w:sz="4" w:space="0"/>
            </w:tcBorders>
            <w:vAlign w:val="center"/>
          </w:tcPr>
          <w:p w14:paraId="4C6E42F9">
            <w:pPr>
              <w:widowControl/>
              <w:spacing w:line="480" w:lineRule="exact"/>
              <w:jc w:val="center"/>
              <w:rPr>
                <w:rFonts w:ascii="仿宋" w:hAnsi="仿宋" w:eastAsia="仿宋"/>
                <w:kern w:val="0"/>
                <w:sz w:val="24"/>
              </w:rPr>
            </w:pPr>
            <w:r>
              <w:rPr>
                <w:rFonts w:hint="eastAsia" w:ascii="仿宋" w:hAnsi="仿宋" w:eastAsia="仿宋"/>
                <w:kern w:val="0"/>
                <w:sz w:val="24"/>
              </w:rPr>
              <w:t>开标时间及地点</w:t>
            </w:r>
          </w:p>
        </w:tc>
        <w:tc>
          <w:tcPr>
            <w:tcW w:w="7202" w:type="dxa"/>
            <w:tcBorders>
              <w:top w:val="single" w:color="000000" w:sz="4" w:space="0"/>
              <w:left w:val="nil"/>
              <w:bottom w:val="single" w:color="000000" w:sz="4" w:space="0"/>
              <w:right w:val="single" w:color="000000" w:sz="4" w:space="0"/>
            </w:tcBorders>
            <w:vAlign w:val="center"/>
          </w:tcPr>
          <w:p w14:paraId="31885952">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11</w:t>
            </w:r>
            <w:r>
              <w:rPr>
                <w:rFonts w:hint="eastAsia" w:ascii="仿宋" w:hAnsi="仿宋" w:eastAsia="仿宋"/>
                <w:kern w:val="0"/>
                <w:sz w:val="24"/>
              </w:rPr>
              <w:t>月</w:t>
            </w:r>
            <w:r>
              <w:rPr>
                <w:rFonts w:hint="eastAsia" w:ascii="仿宋" w:hAnsi="仿宋" w:eastAsia="仿宋"/>
                <w:kern w:val="0"/>
                <w:sz w:val="24"/>
                <w:lang w:val="en-US" w:eastAsia="zh-CN"/>
              </w:rPr>
              <w:t>25</w:t>
            </w:r>
            <w:r>
              <w:rPr>
                <w:rFonts w:hint="eastAsia" w:ascii="仿宋" w:hAnsi="仿宋" w:eastAsia="仿宋"/>
                <w:kern w:val="0"/>
                <w:sz w:val="24"/>
              </w:rPr>
              <w:t>日</w:t>
            </w:r>
            <w:r>
              <w:rPr>
                <w:rFonts w:hint="eastAsia" w:ascii="仿宋" w:hAnsi="仿宋" w:eastAsia="仿宋"/>
                <w:kern w:val="0"/>
                <w:sz w:val="24"/>
                <w:lang w:val="en-US" w:eastAsia="zh-CN"/>
              </w:rPr>
              <w:t>上午9：00</w:t>
            </w:r>
            <w:r>
              <w:rPr>
                <w:rFonts w:hint="eastAsia" w:ascii="仿宋" w:hAnsi="仿宋" w:eastAsia="仿宋"/>
                <w:kern w:val="0"/>
                <w:sz w:val="24"/>
              </w:rPr>
              <w:t>分（若有变动，另行通知）</w:t>
            </w:r>
          </w:p>
          <w:p w14:paraId="501E5D55">
            <w:pPr>
              <w:widowControl/>
              <w:spacing w:line="480" w:lineRule="exact"/>
              <w:rPr>
                <w:rFonts w:ascii="仿宋" w:hAnsi="仿宋" w:eastAsia="仿宋"/>
                <w:kern w:val="0"/>
                <w:sz w:val="24"/>
              </w:rPr>
            </w:pPr>
            <w:r>
              <w:rPr>
                <w:rFonts w:hint="eastAsia" w:ascii="仿宋" w:hAnsi="仿宋" w:eastAsia="仿宋"/>
                <w:kern w:val="0"/>
                <w:sz w:val="24"/>
              </w:rPr>
              <w:t>地点：衡阳国有资产投资控股有限公司4栋3楼评标室</w:t>
            </w:r>
          </w:p>
        </w:tc>
      </w:tr>
      <w:tr w14:paraId="166C911D">
        <w:tblPrEx>
          <w:tblCellMar>
            <w:top w:w="0" w:type="dxa"/>
            <w:left w:w="108" w:type="dxa"/>
            <w:bottom w:w="0" w:type="dxa"/>
            <w:right w:w="108" w:type="dxa"/>
          </w:tblCellMar>
        </w:tblPrEx>
        <w:trPr>
          <w:trHeight w:val="17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3B18A16">
            <w:pPr>
              <w:widowControl/>
              <w:spacing w:line="480" w:lineRule="exact"/>
              <w:jc w:val="center"/>
              <w:rPr>
                <w:rFonts w:ascii="仿宋" w:hAnsi="仿宋" w:eastAsia="仿宋"/>
                <w:kern w:val="0"/>
                <w:sz w:val="24"/>
              </w:rPr>
            </w:pPr>
            <w:r>
              <w:rPr>
                <w:rFonts w:hint="eastAsia" w:ascii="仿宋" w:hAnsi="仿宋" w:eastAsia="仿宋"/>
                <w:kern w:val="0"/>
                <w:sz w:val="24"/>
              </w:rPr>
              <w:t>11</w:t>
            </w:r>
          </w:p>
        </w:tc>
        <w:tc>
          <w:tcPr>
            <w:tcW w:w="1487" w:type="dxa"/>
            <w:tcBorders>
              <w:top w:val="single" w:color="000000" w:sz="4" w:space="0"/>
              <w:left w:val="nil"/>
              <w:bottom w:val="single" w:color="000000" w:sz="4" w:space="0"/>
              <w:right w:val="single" w:color="000000" w:sz="4" w:space="0"/>
            </w:tcBorders>
            <w:vAlign w:val="center"/>
          </w:tcPr>
          <w:p w14:paraId="32970F6E">
            <w:pPr>
              <w:widowControl/>
              <w:spacing w:line="480" w:lineRule="exact"/>
              <w:jc w:val="center"/>
              <w:rPr>
                <w:rFonts w:ascii="仿宋" w:hAnsi="仿宋" w:eastAsia="仿宋"/>
                <w:kern w:val="0"/>
                <w:sz w:val="24"/>
              </w:rPr>
            </w:pPr>
            <w:r>
              <w:rPr>
                <w:rFonts w:hint="eastAsia" w:ascii="仿宋" w:hAnsi="仿宋" w:eastAsia="仿宋"/>
                <w:kern w:val="0"/>
                <w:sz w:val="24"/>
              </w:rPr>
              <w:t>参选文件</w:t>
            </w:r>
          </w:p>
          <w:p w14:paraId="23B08F1F">
            <w:pPr>
              <w:widowControl/>
              <w:spacing w:line="480" w:lineRule="exact"/>
              <w:jc w:val="center"/>
              <w:rPr>
                <w:rFonts w:ascii="仿宋" w:hAnsi="仿宋" w:eastAsia="仿宋"/>
                <w:kern w:val="0"/>
                <w:sz w:val="24"/>
              </w:rPr>
            </w:pPr>
            <w:r>
              <w:rPr>
                <w:rFonts w:hint="eastAsia" w:ascii="仿宋" w:hAnsi="仿宋" w:eastAsia="仿宋"/>
                <w:kern w:val="0"/>
                <w:sz w:val="24"/>
              </w:rPr>
              <w:t>份数</w:t>
            </w:r>
          </w:p>
        </w:tc>
        <w:tc>
          <w:tcPr>
            <w:tcW w:w="7202" w:type="dxa"/>
            <w:tcBorders>
              <w:top w:val="single" w:color="000000" w:sz="4" w:space="0"/>
              <w:left w:val="nil"/>
              <w:bottom w:val="single" w:color="000000" w:sz="4" w:space="0"/>
              <w:right w:val="single" w:color="000000" w:sz="4" w:space="0"/>
            </w:tcBorders>
            <w:vAlign w:val="center"/>
          </w:tcPr>
          <w:p w14:paraId="363D940E">
            <w:pPr>
              <w:widowControl/>
              <w:spacing w:line="480" w:lineRule="exact"/>
              <w:rPr>
                <w:rFonts w:ascii="仿宋" w:hAnsi="仿宋" w:eastAsia="仿宋"/>
                <w:kern w:val="0"/>
                <w:sz w:val="24"/>
              </w:rPr>
            </w:pPr>
            <w:r>
              <w:rPr>
                <w:rFonts w:hint="eastAsia" w:ascii="仿宋" w:hAnsi="仿宋" w:eastAsia="仿宋"/>
                <w:kern w:val="0"/>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kern w:val="0"/>
                <w:sz w:val="24"/>
              </w:rPr>
              <w:t>名称）。</w:t>
            </w:r>
          </w:p>
        </w:tc>
      </w:tr>
      <w:tr w14:paraId="73E16520">
        <w:tblPrEx>
          <w:tblCellMar>
            <w:top w:w="0" w:type="dxa"/>
            <w:left w:w="108" w:type="dxa"/>
            <w:bottom w:w="0" w:type="dxa"/>
            <w:right w:w="108" w:type="dxa"/>
          </w:tblCellMar>
        </w:tblPrEx>
        <w:trPr>
          <w:trHeight w:val="895"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0BCA086">
            <w:pPr>
              <w:widowControl/>
              <w:spacing w:line="480" w:lineRule="exact"/>
              <w:jc w:val="center"/>
              <w:rPr>
                <w:rFonts w:ascii="仿宋" w:hAnsi="仿宋" w:eastAsia="仿宋"/>
                <w:kern w:val="0"/>
                <w:sz w:val="24"/>
              </w:rPr>
            </w:pPr>
            <w:r>
              <w:rPr>
                <w:rFonts w:hint="eastAsia" w:ascii="仿宋" w:hAnsi="仿宋" w:eastAsia="仿宋"/>
                <w:kern w:val="0"/>
                <w:sz w:val="24"/>
              </w:rPr>
              <w:t>12</w:t>
            </w:r>
          </w:p>
        </w:tc>
        <w:tc>
          <w:tcPr>
            <w:tcW w:w="1487" w:type="dxa"/>
            <w:tcBorders>
              <w:top w:val="single" w:color="000000" w:sz="4" w:space="0"/>
              <w:left w:val="nil"/>
              <w:bottom w:val="single" w:color="000000" w:sz="4" w:space="0"/>
              <w:right w:val="single" w:color="000000" w:sz="4" w:space="0"/>
            </w:tcBorders>
            <w:vAlign w:val="center"/>
          </w:tcPr>
          <w:p w14:paraId="65001ED9">
            <w:pPr>
              <w:widowControl/>
              <w:spacing w:line="480" w:lineRule="exact"/>
              <w:jc w:val="center"/>
              <w:rPr>
                <w:rFonts w:ascii="仿宋" w:hAnsi="仿宋" w:eastAsia="仿宋"/>
                <w:kern w:val="0"/>
                <w:sz w:val="24"/>
              </w:rPr>
            </w:pPr>
            <w:r>
              <w:rPr>
                <w:rFonts w:hint="eastAsia" w:ascii="仿宋" w:hAnsi="仿宋" w:eastAsia="仿宋"/>
                <w:kern w:val="0"/>
                <w:sz w:val="24"/>
              </w:rPr>
              <w:t>比选有效期</w:t>
            </w:r>
          </w:p>
        </w:tc>
        <w:tc>
          <w:tcPr>
            <w:tcW w:w="7202" w:type="dxa"/>
            <w:tcBorders>
              <w:top w:val="single" w:color="000000" w:sz="4" w:space="0"/>
              <w:left w:val="nil"/>
              <w:bottom w:val="single" w:color="000000" w:sz="4" w:space="0"/>
              <w:right w:val="single" w:color="000000" w:sz="4" w:space="0"/>
            </w:tcBorders>
            <w:vAlign w:val="center"/>
          </w:tcPr>
          <w:p w14:paraId="29DB5667">
            <w:pPr>
              <w:widowControl/>
              <w:spacing w:line="480" w:lineRule="exact"/>
              <w:rPr>
                <w:rFonts w:ascii="仿宋" w:hAnsi="仿宋" w:eastAsia="仿宋"/>
                <w:kern w:val="0"/>
                <w:sz w:val="24"/>
              </w:rPr>
            </w:pPr>
            <w:r>
              <w:rPr>
                <w:rFonts w:hint="eastAsia" w:ascii="仿宋" w:hAnsi="仿宋" w:eastAsia="仿宋"/>
                <w:kern w:val="0"/>
                <w:sz w:val="24"/>
              </w:rPr>
              <w:t>60天</w:t>
            </w:r>
          </w:p>
        </w:tc>
      </w:tr>
      <w:tr w14:paraId="752AA89C">
        <w:tblPrEx>
          <w:tblCellMar>
            <w:top w:w="0" w:type="dxa"/>
            <w:left w:w="108" w:type="dxa"/>
            <w:bottom w:w="0" w:type="dxa"/>
            <w:right w:w="108" w:type="dxa"/>
          </w:tblCellMar>
        </w:tblPrEx>
        <w:trPr>
          <w:trHeight w:val="124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AC54BA4">
            <w:pPr>
              <w:widowControl/>
              <w:spacing w:line="480" w:lineRule="exact"/>
              <w:jc w:val="center"/>
              <w:rPr>
                <w:rFonts w:ascii="仿宋" w:hAnsi="仿宋" w:eastAsia="仿宋"/>
                <w:kern w:val="0"/>
                <w:sz w:val="24"/>
              </w:rPr>
            </w:pPr>
            <w:r>
              <w:rPr>
                <w:rFonts w:hint="eastAsia" w:ascii="仿宋" w:hAnsi="仿宋" w:eastAsia="仿宋"/>
                <w:kern w:val="0"/>
                <w:sz w:val="24"/>
              </w:rPr>
              <w:t>13</w:t>
            </w:r>
          </w:p>
        </w:tc>
        <w:tc>
          <w:tcPr>
            <w:tcW w:w="1487" w:type="dxa"/>
            <w:tcBorders>
              <w:top w:val="single" w:color="000000" w:sz="4" w:space="0"/>
              <w:left w:val="nil"/>
              <w:bottom w:val="single" w:color="000000" w:sz="4" w:space="0"/>
              <w:right w:val="single" w:color="000000" w:sz="4" w:space="0"/>
            </w:tcBorders>
            <w:vAlign w:val="center"/>
          </w:tcPr>
          <w:p w14:paraId="0D8CB74E">
            <w:pPr>
              <w:widowControl/>
              <w:spacing w:line="480" w:lineRule="exact"/>
              <w:jc w:val="center"/>
              <w:rPr>
                <w:rFonts w:ascii="仿宋" w:hAnsi="仿宋" w:eastAsia="仿宋"/>
                <w:kern w:val="0"/>
                <w:sz w:val="24"/>
              </w:rPr>
            </w:pPr>
            <w:r>
              <w:rPr>
                <w:rFonts w:hint="eastAsia" w:ascii="仿宋" w:hAnsi="仿宋" w:eastAsia="仿宋"/>
                <w:kern w:val="0"/>
                <w:sz w:val="24"/>
              </w:rPr>
              <w:t>控制价</w:t>
            </w:r>
          </w:p>
        </w:tc>
        <w:tc>
          <w:tcPr>
            <w:tcW w:w="7202" w:type="dxa"/>
            <w:tcBorders>
              <w:top w:val="single" w:color="000000" w:sz="4" w:space="0"/>
              <w:left w:val="nil"/>
              <w:bottom w:val="single" w:color="000000" w:sz="4" w:space="0"/>
              <w:right w:val="single" w:color="000000" w:sz="4" w:space="0"/>
            </w:tcBorders>
            <w:vAlign w:val="center"/>
          </w:tcPr>
          <w:p w14:paraId="27103F6A">
            <w:pPr>
              <w:widowControl/>
              <w:spacing w:line="480" w:lineRule="exact"/>
              <w:rPr>
                <w:rFonts w:ascii="仿宋" w:hAnsi="仿宋" w:eastAsia="仿宋"/>
                <w:kern w:val="0"/>
                <w:sz w:val="24"/>
              </w:rPr>
            </w:pPr>
            <w:r>
              <w:rPr>
                <w:rFonts w:hint="eastAsia" w:ascii="仿宋" w:hAnsi="仿宋" w:eastAsia="仿宋"/>
                <w:kern w:val="0"/>
                <w:sz w:val="24"/>
              </w:rPr>
              <w:t>最高投标限价4万元</w:t>
            </w:r>
          </w:p>
        </w:tc>
      </w:tr>
      <w:tr w14:paraId="31CD9B11">
        <w:tblPrEx>
          <w:tblCellMar>
            <w:top w:w="0" w:type="dxa"/>
            <w:left w:w="108" w:type="dxa"/>
            <w:bottom w:w="0" w:type="dxa"/>
            <w:right w:w="108" w:type="dxa"/>
          </w:tblCellMar>
        </w:tblPrEx>
        <w:trPr>
          <w:trHeight w:val="134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6F9DA5B">
            <w:pPr>
              <w:widowControl/>
              <w:spacing w:line="480" w:lineRule="exact"/>
              <w:jc w:val="center"/>
              <w:rPr>
                <w:rFonts w:ascii="仿宋" w:hAnsi="仿宋" w:eastAsia="仿宋"/>
                <w:kern w:val="0"/>
                <w:sz w:val="24"/>
              </w:rPr>
            </w:pPr>
            <w:r>
              <w:rPr>
                <w:rFonts w:hint="eastAsia" w:ascii="仿宋" w:hAnsi="仿宋" w:eastAsia="仿宋"/>
                <w:kern w:val="0"/>
                <w:sz w:val="24"/>
              </w:rPr>
              <w:t>14</w:t>
            </w:r>
          </w:p>
        </w:tc>
        <w:tc>
          <w:tcPr>
            <w:tcW w:w="1487" w:type="dxa"/>
            <w:tcBorders>
              <w:top w:val="single" w:color="000000" w:sz="4" w:space="0"/>
              <w:left w:val="nil"/>
              <w:bottom w:val="single" w:color="000000" w:sz="4" w:space="0"/>
              <w:right w:val="single" w:color="000000" w:sz="4" w:space="0"/>
            </w:tcBorders>
            <w:vAlign w:val="center"/>
          </w:tcPr>
          <w:p w14:paraId="6EC07E8C">
            <w:pPr>
              <w:widowControl/>
              <w:spacing w:line="480" w:lineRule="exact"/>
              <w:jc w:val="center"/>
              <w:rPr>
                <w:rFonts w:ascii="仿宋" w:hAnsi="仿宋" w:eastAsia="仿宋"/>
                <w:kern w:val="0"/>
                <w:sz w:val="24"/>
              </w:rPr>
            </w:pPr>
            <w:r>
              <w:rPr>
                <w:rFonts w:hint="eastAsia" w:ascii="仿宋" w:hAnsi="仿宋" w:eastAsia="仿宋"/>
                <w:kern w:val="0"/>
                <w:sz w:val="24"/>
              </w:rPr>
              <w:t>评选委员会</w:t>
            </w:r>
          </w:p>
          <w:p w14:paraId="6D23650D">
            <w:pPr>
              <w:widowControl/>
              <w:spacing w:line="480" w:lineRule="exact"/>
              <w:jc w:val="center"/>
              <w:rPr>
                <w:rFonts w:ascii="仿宋" w:hAnsi="仿宋" w:eastAsia="仿宋"/>
                <w:kern w:val="0"/>
                <w:sz w:val="24"/>
              </w:rPr>
            </w:pPr>
            <w:r>
              <w:rPr>
                <w:rFonts w:hint="eastAsia" w:ascii="仿宋" w:hAnsi="仿宋" w:eastAsia="仿宋"/>
                <w:kern w:val="0"/>
                <w:sz w:val="24"/>
              </w:rPr>
              <w:t>的组建</w:t>
            </w:r>
          </w:p>
        </w:tc>
        <w:tc>
          <w:tcPr>
            <w:tcW w:w="7202" w:type="dxa"/>
            <w:tcBorders>
              <w:top w:val="single" w:color="000000" w:sz="4" w:space="0"/>
              <w:left w:val="nil"/>
              <w:bottom w:val="single" w:color="000000" w:sz="4" w:space="0"/>
              <w:right w:val="single" w:color="000000" w:sz="4" w:space="0"/>
            </w:tcBorders>
            <w:vAlign w:val="center"/>
          </w:tcPr>
          <w:p w14:paraId="1BA2DC82">
            <w:pPr>
              <w:widowControl/>
              <w:spacing w:line="480" w:lineRule="exact"/>
              <w:rPr>
                <w:rFonts w:ascii="仿宋" w:hAnsi="仿宋" w:eastAsia="仿宋"/>
                <w:kern w:val="0"/>
                <w:sz w:val="24"/>
              </w:rPr>
            </w:pPr>
            <w:r>
              <w:rPr>
                <w:rFonts w:hint="eastAsia" w:ascii="仿宋" w:hAnsi="仿宋" w:eastAsia="仿宋"/>
                <w:kern w:val="0"/>
                <w:sz w:val="24"/>
              </w:rPr>
              <w:t>由比选人负责组建。</w:t>
            </w:r>
          </w:p>
        </w:tc>
      </w:tr>
      <w:tr w14:paraId="4C4CD447">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703F766">
            <w:pPr>
              <w:widowControl/>
              <w:spacing w:line="480" w:lineRule="exact"/>
              <w:jc w:val="center"/>
              <w:rPr>
                <w:rFonts w:ascii="仿宋" w:hAnsi="仿宋" w:eastAsia="仿宋"/>
                <w:kern w:val="0"/>
                <w:sz w:val="24"/>
              </w:rPr>
            </w:pPr>
            <w:r>
              <w:rPr>
                <w:rFonts w:hint="eastAsia" w:ascii="仿宋" w:hAnsi="仿宋" w:eastAsia="仿宋"/>
                <w:kern w:val="0"/>
                <w:sz w:val="24"/>
              </w:rPr>
              <w:t>15</w:t>
            </w:r>
          </w:p>
        </w:tc>
        <w:tc>
          <w:tcPr>
            <w:tcW w:w="1487" w:type="dxa"/>
            <w:tcBorders>
              <w:top w:val="single" w:color="000000" w:sz="4" w:space="0"/>
              <w:left w:val="nil"/>
              <w:bottom w:val="single" w:color="000000" w:sz="4" w:space="0"/>
              <w:right w:val="single" w:color="000000" w:sz="4" w:space="0"/>
            </w:tcBorders>
            <w:vAlign w:val="center"/>
          </w:tcPr>
          <w:p w14:paraId="697B4D33">
            <w:pPr>
              <w:widowControl/>
              <w:spacing w:line="480" w:lineRule="exact"/>
              <w:jc w:val="center"/>
              <w:rPr>
                <w:rFonts w:ascii="仿宋" w:hAnsi="仿宋" w:eastAsia="仿宋"/>
                <w:kern w:val="0"/>
                <w:sz w:val="24"/>
              </w:rPr>
            </w:pPr>
            <w:r>
              <w:rPr>
                <w:rFonts w:hint="eastAsia" w:ascii="仿宋" w:hAnsi="仿宋" w:eastAsia="仿宋"/>
                <w:kern w:val="0"/>
                <w:sz w:val="24"/>
              </w:rPr>
              <w:t>评标办法</w:t>
            </w:r>
          </w:p>
        </w:tc>
        <w:tc>
          <w:tcPr>
            <w:tcW w:w="7202" w:type="dxa"/>
            <w:tcBorders>
              <w:top w:val="single" w:color="000000" w:sz="4" w:space="0"/>
              <w:left w:val="nil"/>
              <w:bottom w:val="single" w:color="000000" w:sz="4" w:space="0"/>
              <w:right w:val="single" w:color="000000" w:sz="4" w:space="0"/>
            </w:tcBorders>
            <w:vAlign w:val="center"/>
          </w:tcPr>
          <w:p w14:paraId="37A31878">
            <w:pPr>
              <w:widowControl/>
              <w:spacing w:line="480" w:lineRule="exact"/>
              <w:rPr>
                <w:rFonts w:ascii="仿宋" w:hAnsi="仿宋" w:eastAsia="仿宋"/>
                <w:kern w:val="0"/>
                <w:sz w:val="24"/>
              </w:rPr>
            </w:pPr>
            <w:r>
              <w:rPr>
                <w:rFonts w:hint="eastAsia" w:ascii="仿宋" w:hAnsi="仿宋" w:eastAsia="仿宋"/>
                <w:kern w:val="0"/>
                <w:sz w:val="24"/>
              </w:rPr>
              <w:t>最低投标价法</w:t>
            </w:r>
          </w:p>
        </w:tc>
      </w:tr>
      <w:tr w14:paraId="24283C36">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C49188C">
            <w:pPr>
              <w:widowControl/>
              <w:spacing w:line="480" w:lineRule="exact"/>
              <w:jc w:val="center"/>
              <w:rPr>
                <w:rFonts w:ascii="仿宋" w:hAnsi="仿宋" w:eastAsia="仿宋"/>
                <w:kern w:val="0"/>
                <w:sz w:val="24"/>
              </w:rPr>
            </w:pPr>
            <w:r>
              <w:rPr>
                <w:rFonts w:hint="eastAsia" w:ascii="仿宋" w:hAnsi="仿宋" w:eastAsia="仿宋"/>
                <w:kern w:val="0"/>
                <w:sz w:val="24"/>
              </w:rPr>
              <w:t>16</w:t>
            </w:r>
          </w:p>
        </w:tc>
        <w:tc>
          <w:tcPr>
            <w:tcW w:w="1487" w:type="dxa"/>
            <w:tcBorders>
              <w:top w:val="single" w:color="000000" w:sz="4" w:space="0"/>
              <w:left w:val="nil"/>
              <w:bottom w:val="single" w:color="000000" w:sz="4" w:space="0"/>
              <w:right w:val="single" w:color="000000" w:sz="4" w:space="0"/>
            </w:tcBorders>
            <w:vAlign w:val="center"/>
          </w:tcPr>
          <w:p w14:paraId="25B80C0D">
            <w:pPr>
              <w:widowControl/>
              <w:spacing w:line="480" w:lineRule="exact"/>
              <w:jc w:val="center"/>
              <w:rPr>
                <w:rFonts w:ascii="仿宋" w:hAnsi="仿宋" w:eastAsia="仿宋"/>
                <w:kern w:val="0"/>
                <w:sz w:val="24"/>
              </w:rPr>
            </w:pPr>
            <w:r>
              <w:rPr>
                <w:rFonts w:hint="eastAsia" w:ascii="仿宋" w:hAnsi="仿宋" w:eastAsia="仿宋"/>
                <w:kern w:val="0"/>
                <w:sz w:val="24"/>
              </w:rPr>
              <w:t>服务期限</w:t>
            </w:r>
          </w:p>
        </w:tc>
        <w:tc>
          <w:tcPr>
            <w:tcW w:w="7202" w:type="dxa"/>
            <w:tcBorders>
              <w:top w:val="single" w:color="000000" w:sz="4" w:space="0"/>
              <w:left w:val="nil"/>
              <w:bottom w:val="single" w:color="000000" w:sz="4" w:space="0"/>
              <w:right w:val="single" w:color="000000" w:sz="4" w:space="0"/>
            </w:tcBorders>
            <w:vAlign w:val="center"/>
          </w:tcPr>
          <w:p w14:paraId="00021A0B">
            <w:pPr>
              <w:widowControl/>
              <w:spacing w:line="480" w:lineRule="exact"/>
              <w:rPr>
                <w:rFonts w:ascii="仿宋" w:hAnsi="仿宋" w:eastAsia="仿宋"/>
                <w:kern w:val="0"/>
                <w:sz w:val="24"/>
              </w:rPr>
            </w:pPr>
            <w:r>
              <w:rPr>
                <w:rFonts w:hint="eastAsia" w:ascii="仿宋" w:hAnsi="仿宋" w:eastAsia="仿宋"/>
                <w:kern w:val="0"/>
                <w:sz w:val="24"/>
              </w:rPr>
              <w:t>自合同签订之日起1年。如中标方服务未达到采购方要求、验收标准或相关部门查验标准等发生变化、履约存在问题等，采购方有权随时终止合同，中标方不得提出异议或索赔。</w:t>
            </w:r>
          </w:p>
        </w:tc>
      </w:tr>
      <w:tr w14:paraId="68D47C75">
        <w:tblPrEx>
          <w:tblCellMar>
            <w:top w:w="0" w:type="dxa"/>
            <w:left w:w="108" w:type="dxa"/>
            <w:bottom w:w="0" w:type="dxa"/>
            <w:right w:w="108" w:type="dxa"/>
          </w:tblCellMar>
        </w:tblPrEx>
        <w:trPr>
          <w:trHeight w:val="170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3A99DF2">
            <w:pPr>
              <w:widowControl/>
              <w:spacing w:line="480" w:lineRule="exact"/>
              <w:jc w:val="center"/>
              <w:rPr>
                <w:rFonts w:ascii="仿宋" w:hAnsi="仿宋" w:eastAsia="仿宋"/>
                <w:kern w:val="0"/>
                <w:sz w:val="24"/>
              </w:rPr>
            </w:pPr>
            <w:r>
              <w:rPr>
                <w:rFonts w:hint="eastAsia" w:ascii="仿宋" w:hAnsi="仿宋" w:eastAsia="仿宋"/>
                <w:kern w:val="0"/>
                <w:sz w:val="24"/>
              </w:rPr>
              <w:t>17</w:t>
            </w:r>
          </w:p>
        </w:tc>
        <w:tc>
          <w:tcPr>
            <w:tcW w:w="1487" w:type="dxa"/>
            <w:tcBorders>
              <w:top w:val="single" w:color="000000" w:sz="4" w:space="0"/>
              <w:left w:val="nil"/>
              <w:bottom w:val="single" w:color="000000" w:sz="4" w:space="0"/>
              <w:right w:val="single" w:color="000000" w:sz="4" w:space="0"/>
            </w:tcBorders>
            <w:vAlign w:val="center"/>
          </w:tcPr>
          <w:p w14:paraId="23BE44C2">
            <w:pPr>
              <w:widowControl/>
              <w:spacing w:line="480" w:lineRule="exact"/>
              <w:jc w:val="center"/>
              <w:rPr>
                <w:rFonts w:ascii="仿宋" w:hAnsi="仿宋" w:eastAsia="仿宋"/>
                <w:kern w:val="0"/>
                <w:sz w:val="24"/>
              </w:rPr>
            </w:pPr>
            <w:r>
              <w:rPr>
                <w:rFonts w:hint="eastAsia" w:ascii="仿宋" w:hAnsi="仿宋" w:eastAsia="仿宋"/>
                <w:kern w:val="0"/>
                <w:sz w:val="24"/>
              </w:rPr>
              <w:t>中选公示</w:t>
            </w:r>
          </w:p>
        </w:tc>
        <w:tc>
          <w:tcPr>
            <w:tcW w:w="7202" w:type="dxa"/>
            <w:tcBorders>
              <w:top w:val="single" w:color="000000" w:sz="4" w:space="0"/>
              <w:left w:val="nil"/>
              <w:bottom w:val="single" w:color="000000" w:sz="4" w:space="0"/>
              <w:right w:val="single" w:color="000000" w:sz="4" w:space="0"/>
            </w:tcBorders>
            <w:vAlign w:val="center"/>
          </w:tcPr>
          <w:p w14:paraId="3AE4E02A">
            <w:pPr>
              <w:widowControl/>
              <w:spacing w:line="480" w:lineRule="exact"/>
              <w:rPr>
                <w:rFonts w:ascii="仿宋" w:hAnsi="仿宋" w:eastAsia="仿宋"/>
                <w:kern w:val="0"/>
                <w:sz w:val="24"/>
              </w:rPr>
            </w:pPr>
            <w:r>
              <w:rPr>
                <w:rFonts w:hint="eastAsia" w:ascii="仿宋" w:hAnsi="仿宋" w:eastAsia="仿宋"/>
                <w:kern w:val="0"/>
                <w:sz w:val="24"/>
              </w:rPr>
              <w:t>在中选通知书发出前，比选人将中选候选人的情况在衡阳国有资产投资控股有限公司官方网站（www.hxamc.com）予以公示。</w:t>
            </w:r>
          </w:p>
        </w:tc>
      </w:tr>
    </w:tbl>
    <w:p w14:paraId="58B66FC9">
      <w:pPr>
        <w:rPr>
          <w:rFonts w:ascii="黑体" w:hAnsi="黑体" w:eastAsia="黑体" w:cs="黑体"/>
          <w:b/>
          <w:spacing w:val="15"/>
          <w:kern w:val="0"/>
          <w:sz w:val="32"/>
          <w:szCs w:val="32"/>
        </w:rPr>
      </w:pPr>
    </w:p>
    <w:p w14:paraId="141A9076">
      <w:pPr>
        <w:rPr>
          <w:rFonts w:ascii="黑体" w:hAnsi="黑体" w:eastAsia="黑体" w:cs="黑体"/>
          <w:b/>
          <w:spacing w:val="15"/>
          <w:kern w:val="0"/>
          <w:sz w:val="32"/>
          <w:szCs w:val="32"/>
        </w:rPr>
      </w:pPr>
      <w:r>
        <w:rPr>
          <w:rFonts w:hint="eastAsia" w:ascii="黑体" w:hAnsi="黑体" w:eastAsia="黑体" w:cs="黑体"/>
          <w:b/>
          <w:spacing w:val="15"/>
          <w:kern w:val="0"/>
          <w:sz w:val="32"/>
          <w:szCs w:val="32"/>
        </w:rPr>
        <w:t>二、比选保密，违者应对由此造成的后果承担法律责任。</w:t>
      </w:r>
    </w:p>
    <w:p w14:paraId="15C30F68">
      <w:pPr>
        <w:widowControl/>
        <w:spacing w:line="480" w:lineRule="exact"/>
        <w:ind w:firstLine="560" w:firstLineChars="200"/>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642E6601">
      <w:pPr>
        <w:widowControl/>
        <w:spacing w:line="480" w:lineRule="exac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14:paraId="51A6C80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14:paraId="4C22118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14:paraId="15C6198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14:paraId="67DB3D4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w:t>
      </w:r>
      <w:r>
        <w:rPr>
          <w:rFonts w:hint="eastAsia" w:ascii="仿宋" w:hAnsi="仿宋" w:eastAsia="仿宋"/>
          <w:spacing w:val="15"/>
          <w:kern w:val="0"/>
          <w:sz w:val="28"/>
          <w:szCs w:val="28"/>
          <w:u w:val="single"/>
          <w:lang w:val="en-US" w:eastAsia="zh-CN"/>
        </w:rPr>
        <w:t>11</w:t>
      </w:r>
      <w:r>
        <w:rPr>
          <w:rFonts w:hint="eastAsia" w:ascii="仿宋" w:hAnsi="仿宋" w:eastAsia="仿宋"/>
          <w:spacing w:val="15"/>
          <w:kern w:val="0"/>
          <w:sz w:val="28"/>
          <w:szCs w:val="28"/>
          <w:u w:val="single"/>
        </w:rPr>
        <w:t>月</w:t>
      </w:r>
      <w:r>
        <w:rPr>
          <w:rFonts w:hint="eastAsia" w:ascii="仿宋" w:hAnsi="仿宋" w:eastAsia="仿宋"/>
          <w:spacing w:val="15"/>
          <w:kern w:val="0"/>
          <w:sz w:val="28"/>
          <w:szCs w:val="28"/>
          <w:u w:val="single"/>
          <w:lang w:val="en-US" w:eastAsia="zh-CN"/>
        </w:rPr>
        <w:t>22</w:t>
      </w:r>
      <w:r>
        <w:rPr>
          <w:rFonts w:hint="eastAsia" w:ascii="仿宋" w:hAnsi="仿宋" w:eastAsia="仿宋"/>
          <w:spacing w:val="15"/>
          <w:kern w:val="0"/>
          <w:sz w:val="28"/>
          <w:szCs w:val="28"/>
          <w:u w:val="single"/>
        </w:rPr>
        <w:t>日下午17:00</w:t>
      </w:r>
      <w:r>
        <w:rPr>
          <w:rFonts w:hint="eastAsia" w:ascii="仿宋" w:hAnsi="仿宋" w:eastAsia="仿宋"/>
          <w:spacing w:val="15"/>
          <w:kern w:val="0"/>
          <w:sz w:val="28"/>
          <w:szCs w:val="28"/>
        </w:rPr>
        <w:t>（北京时间）之前以书面形式递交至比选人。比选人对参选人的答疑，都将以书面形式通知所有参选人，参选人在24小时内注明“已收到该答疑文件”并加盖单位公章及法定代表人或授权委托人签字后递交到比选人，答疑文件视为比选须知的组成部分。</w:t>
      </w:r>
    </w:p>
    <w:p w14:paraId="017AF0C3">
      <w:pPr>
        <w:widowControl/>
        <w:spacing w:line="480" w:lineRule="exact"/>
        <w:ind w:firstLine="620" w:firstLineChars="200"/>
        <w:rPr>
          <w:rFonts w:ascii="仿宋" w:hAnsi="仿宋" w:eastAsia="仿宋" w:cs="仿宋"/>
          <w:sz w:val="28"/>
          <w:szCs w:val="28"/>
        </w:rPr>
      </w:pPr>
      <w:r>
        <w:rPr>
          <w:rFonts w:hint="eastAsia" w:ascii="仿宋" w:hAnsi="仿宋" w:eastAsia="仿宋"/>
          <w:spacing w:val="15"/>
          <w:kern w:val="0"/>
          <w:sz w:val="28"/>
          <w:szCs w:val="28"/>
        </w:rPr>
        <w:t>5.比选须知发出后，在提交参选文件截止时间前，比选人可对比选须知进行补充和修改，补充和修改内容都将以书面形式或发邮箱形式或打电话形式通知所有参选人，补充和修改文件视为该比选须知的组成部分。为使参选人在编制参选文件时，有充分的时间对比选须知的补充或修改内容进行研究，比选人</w:t>
      </w:r>
      <w:r>
        <w:rPr>
          <w:rFonts w:hint="eastAsia" w:ascii="仿宋" w:hAnsi="仿宋" w:eastAsia="仿宋" w:cs="仿宋"/>
          <w:sz w:val="28"/>
          <w:szCs w:val="28"/>
        </w:rPr>
        <w:t>可酌情延长递交参选文件的截止时间，具体时间将在补充、修改通知中进行明确。</w:t>
      </w:r>
    </w:p>
    <w:p w14:paraId="5CC6CED5">
      <w:pPr>
        <w:widowControl/>
        <w:spacing w:line="480" w:lineRule="exact"/>
        <w:rPr>
          <w:rFonts w:ascii="黑体" w:hAnsi="黑体" w:eastAsia="黑体" w:cs="黑体"/>
          <w:b/>
          <w:bCs/>
          <w:kern w:val="0"/>
          <w:sz w:val="32"/>
          <w:szCs w:val="32"/>
        </w:rPr>
      </w:pPr>
      <w:r>
        <w:rPr>
          <w:rFonts w:hint="eastAsia" w:ascii="黑体" w:hAnsi="黑体" w:eastAsia="黑体" w:cs="黑体"/>
          <w:b/>
          <w:bCs/>
          <w:sz w:val="32"/>
          <w:szCs w:val="32"/>
        </w:rPr>
        <w:t>四、</w:t>
      </w:r>
      <w:r>
        <w:rPr>
          <w:rFonts w:hint="eastAsia" w:ascii="黑体" w:hAnsi="黑体" w:eastAsia="黑体" w:cs="黑体"/>
          <w:b/>
          <w:bCs/>
          <w:kern w:val="0"/>
          <w:sz w:val="32"/>
          <w:szCs w:val="32"/>
        </w:rPr>
        <w:t>参选文件要求</w:t>
      </w:r>
    </w:p>
    <w:p w14:paraId="135D837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（一）参选文件编制主要内容及格式如下：</w:t>
      </w:r>
    </w:p>
    <w:p w14:paraId="6FAFB96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6D98162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3303194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22BA249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7D57143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3B6C00E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6.资格条件（符合比选须知前附表6资格要求的相关证明文件）</w:t>
      </w:r>
    </w:p>
    <w:p w14:paraId="529A261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7226451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（2）“信用中国”网站中的信用信息报告（查询结果应为网站自动生成的PDF文件的打印版并加盖参选人公章）</w:t>
      </w:r>
    </w:p>
    <w:p w14:paraId="7C7D0F0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（3）业绩证明复印件（参选单位应提供从2021年1月1日至2024年10月31日期间至少1项同类业绩完整版合同复印件）</w:t>
      </w:r>
    </w:p>
    <w:p w14:paraId="4A41CC0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（4）其他资格要求证明文件（如有，格式自拟）</w:t>
      </w:r>
    </w:p>
    <w:p w14:paraId="6CA69B2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7.报价一览表（按附件6的格式报价）</w:t>
      </w:r>
    </w:p>
    <w:p w14:paraId="1E98647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56C8F27E">
      <w:pPr>
        <w:widowControl/>
        <w:spacing w:line="480" w:lineRule="exact"/>
        <w:ind w:firstLine="620" w:firstLineChars="200"/>
      </w:pPr>
      <w:r>
        <w:rPr>
          <w:rFonts w:hint="eastAsia" w:ascii="仿宋" w:hAnsi="仿宋" w:eastAsia="仿宋"/>
          <w:spacing w:val="15"/>
          <w:kern w:val="0"/>
          <w:sz w:val="28"/>
          <w:szCs w:val="28"/>
        </w:rPr>
        <w:t>（二）参选文件编制要求</w:t>
      </w:r>
    </w:p>
    <w:p w14:paraId="64C15F3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6F28CCC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16B1EEB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3F3BAB2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地注明“正本”或“副本”的字样。若正本与副本中存在不符的内容，以正本为准；若纸质版文件与电子文件中存在不符的内容，以纸质版文件为准。同一数字的表达不一致时，以大写为准。</w:t>
      </w:r>
    </w:p>
    <w:p w14:paraId="0EDCA5E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2A7CF4C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14:paraId="5DD450D2">
      <w:pPr>
        <w:widowControl/>
        <w:spacing w:line="480" w:lineRule="exact"/>
        <w:ind w:firstLine="310" w:firstLineChars="100"/>
        <w:rPr>
          <w:rFonts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14:paraId="50264A5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14:paraId="2885134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14:paraId="7C248C5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14:paraId="7C60104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14:paraId="16C6BBA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14:paraId="5F16F0E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14:paraId="681B94B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14:paraId="03B0562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8.按照相关法律法规，应视为废标的情形。</w:t>
      </w:r>
    </w:p>
    <w:p w14:paraId="3022D224">
      <w:pPr>
        <w:spacing w:line="480" w:lineRule="exact"/>
        <w:ind w:firstLine="643" w:firstLineChars="200"/>
        <w:rPr>
          <w:rFonts w:ascii="黑体" w:hAnsi="黑体" w:eastAsia="黑体" w:cs="黑体"/>
          <w:b/>
          <w:spacing w:val="15"/>
          <w:kern w:val="0"/>
          <w:sz w:val="32"/>
          <w:szCs w:val="32"/>
        </w:rPr>
      </w:pPr>
      <w:r>
        <w:rPr>
          <w:rFonts w:hint="eastAsia" w:ascii="黑体" w:hAnsi="黑体" w:eastAsia="黑体" w:cs="黑体"/>
          <w:b/>
          <w:bCs/>
          <w:kern w:val="0"/>
          <w:sz w:val="32"/>
          <w:szCs w:val="32"/>
        </w:rPr>
        <w:t>五、</w:t>
      </w:r>
      <w:r>
        <w:rPr>
          <w:rFonts w:hint="eastAsia" w:ascii="黑体" w:hAnsi="黑体" w:eastAsia="黑体" w:cs="黑体"/>
          <w:b/>
          <w:spacing w:val="15"/>
          <w:kern w:val="0"/>
          <w:sz w:val="32"/>
          <w:szCs w:val="32"/>
        </w:rPr>
        <w:t>重新比选</w:t>
      </w:r>
    </w:p>
    <w:p w14:paraId="1779DF8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6644A3DB">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0AB0D857">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6E750FCB">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23408769">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比选人重新比选后，再次发生上述情形之一的，比选人可自行决定不再进行比选。 </w:t>
      </w:r>
    </w:p>
    <w:p w14:paraId="575069BD">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55C2F4E8">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3D71EE40">
      <w:pPr>
        <w:widowControl/>
        <w:spacing w:line="480" w:lineRule="exact"/>
        <w:jc w:val="center"/>
        <w:rPr>
          <w:rFonts w:ascii="宋体" w:hAnsi="宋体"/>
          <w:b/>
          <w:bCs/>
          <w:kern w:val="0"/>
          <w:sz w:val="44"/>
          <w:szCs w:val="44"/>
        </w:rPr>
      </w:pPr>
    </w:p>
    <w:p w14:paraId="1825F2CC">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3F94463E">
      <w:pPr>
        <w:widowControl/>
        <w:spacing w:line="480" w:lineRule="exact"/>
        <w:rPr>
          <w:rFonts w:ascii="仿宋" w:hAnsi="仿宋" w:eastAsia="仿宋"/>
          <w:kern w:val="0"/>
          <w:sz w:val="28"/>
          <w:szCs w:val="28"/>
        </w:rPr>
      </w:pPr>
    </w:p>
    <w:p w14:paraId="5E0100DA">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（比选项目名称）</w:t>
      </w:r>
      <w:r>
        <w:rPr>
          <w:rFonts w:hint="eastAsia" w:ascii="仿宋" w:hAnsi="仿宋" w:eastAsia="仿宋"/>
          <w:kern w:val="0"/>
          <w:sz w:val="28"/>
          <w:szCs w:val="28"/>
        </w:rPr>
        <w:t>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14:paraId="195ED60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578E64F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如我方中选，我方保证忠实地执行双方签订的合同，按贵方的委托要求优质高效地完成委托服务任务。</w:t>
      </w:r>
    </w:p>
    <w:p w14:paraId="2B686E0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14:paraId="754C397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33DB37F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333DEDA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3AFD343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1CD3EB7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6B99B352">
      <w:pPr>
        <w:widowControl/>
        <w:spacing w:line="480" w:lineRule="exact"/>
        <w:ind w:firstLine="3209"/>
        <w:rPr>
          <w:rFonts w:ascii="仿宋" w:hAnsi="仿宋" w:eastAsia="仿宋"/>
          <w:kern w:val="0"/>
          <w:sz w:val="28"/>
          <w:szCs w:val="28"/>
        </w:rPr>
      </w:pPr>
    </w:p>
    <w:p w14:paraId="4EC91571">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7C53F2AD">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5ADB29C0">
      <w:pPr>
        <w:widowControl/>
        <w:spacing w:line="480" w:lineRule="exact"/>
        <w:ind w:firstLine="4346"/>
        <w:rPr>
          <w:rFonts w:ascii="仿宋" w:hAnsi="仿宋" w:eastAsia="仿宋"/>
          <w:kern w:val="0"/>
          <w:sz w:val="32"/>
          <w:szCs w:val="32"/>
        </w:rPr>
      </w:pPr>
    </w:p>
    <w:p w14:paraId="24E14F26">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6F7917A6">
      <w:pPr>
        <w:spacing w:line="480" w:lineRule="exact"/>
        <w:rPr>
          <w:rFonts w:ascii="宋体" w:hAnsi="宋体"/>
          <w:b/>
          <w:bCs/>
          <w:kern w:val="0"/>
          <w:sz w:val="28"/>
          <w:szCs w:val="28"/>
        </w:rPr>
      </w:pPr>
      <w:r>
        <w:rPr>
          <w:rFonts w:hint="eastAsia" w:ascii="宋体" w:hAnsi="宋体"/>
          <w:b/>
          <w:bCs/>
          <w:kern w:val="0"/>
          <w:sz w:val="28"/>
          <w:szCs w:val="28"/>
        </w:rPr>
        <w:br w:type="page"/>
      </w:r>
    </w:p>
    <w:p w14:paraId="6ECA92EA">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502015AA">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27AB8199">
      <w:pPr>
        <w:widowControl/>
        <w:spacing w:line="480" w:lineRule="exact"/>
        <w:jc w:val="left"/>
        <w:rPr>
          <w:rFonts w:ascii="仿宋" w:hAnsi="仿宋" w:eastAsia="仿宋"/>
          <w:kern w:val="0"/>
          <w:sz w:val="24"/>
        </w:rPr>
      </w:pPr>
    </w:p>
    <w:p w14:paraId="5B3E744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签订合同，并按合同要求承担本项目委托服务工作，保证不转让、转包本项目的服务业务。</w:t>
      </w:r>
    </w:p>
    <w:p w14:paraId="46F2783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016DC7B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7A99453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3C66B26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3B39623D">
      <w:pPr>
        <w:widowControl/>
        <w:spacing w:line="480" w:lineRule="exact"/>
        <w:jc w:val="left"/>
        <w:rPr>
          <w:rFonts w:ascii="仿宋" w:hAnsi="仿宋" w:eastAsia="仿宋"/>
          <w:kern w:val="0"/>
          <w:sz w:val="28"/>
          <w:szCs w:val="28"/>
        </w:rPr>
      </w:pPr>
    </w:p>
    <w:p w14:paraId="2D19C27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6656067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357C0F4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43C478C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61D616D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18A5461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461B2430">
      <w:pPr>
        <w:widowControl/>
        <w:spacing w:line="480" w:lineRule="exact"/>
        <w:jc w:val="left"/>
        <w:rPr>
          <w:rFonts w:ascii="仿宋" w:hAnsi="仿宋" w:eastAsia="仿宋"/>
          <w:kern w:val="0"/>
          <w:sz w:val="28"/>
          <w:szCs w:val="28"/>
        </w:rPr>
      </w:pPr>
    </w:p>
    <w:p w14:paraId="3E2EE47B">
      <w:pPr>
        <w:pStyle w:val="14"/>
        <w:ind w:firstLine="400"/>
      </w:pPr>
    </w:p>
    <w:p w14:paraId="3060C6D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4D463861">
      <w:pPr>
        <w:widowControl/>
        <w:spacing w:line="480" w:lineRule="exact"/>
        <w:ind w:firstLine="420"/>
        <w:jc w:val="left"/>
        <w:rPr>
          <w:kern w:val="0"/>
          <w:szCs w:val="21"/>
        </w:rPr>
      </w:pPr>
    </w:p>
    <w:p w14:paraId="66C396B2">
      <w:pPr>
        <w:widowControl/>
        <w:spacing w:line="480" w:lineRule="exact"/>
        <w:ind w:firstLine="420"/>
        <w:jc w:val="left"/>
        <w:rPr>
          <w:kern w:val="0"/>
          <w:szCs w:val="21"/>
        </w:rPr>
      </w:pPr>
    </w:p>
    <w:p w14:paraId="3225C61C">
      <w:pPr>
        <w:widowControl/>
        <w:spacing w:line="480" w:lineRule="exact"/>
        <w:ind w:firstLine="420"/>
        <w:jc w:val="left"/>
        <w:rPr>
          <w:kern w:val="0"/>
          <w:szCs w:val="21"/>
        </w:rPr>
      </w:pPr>
    </w:p>
    <w:p w14:paraId="323BBA0E">
      <w:pPr>
        <w:widowControl/>
        <w:spacing w:line="480" w:lineRule="exact"/>
        <w:ind w:firstLine="420"/>
        <w:jc w:val="left"/>
        <w:rPr>
          <w:kern w:val="0"/>
          <w:szCs w:val="21"/>
        </w:rPr>
      </w:pPr>
    </w:p>
    <w:p w14:paraId="7E5E76E5">
      <w:pPr>
        <w:pStyle w:val="3"/>
      </w:pPr>
    </w:p>
    <w:p w14:paraId="4ECB9DFF">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2C33909F">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566946E3">
      <w:pPr>
        <w:adjustRightInd w:val="0"/>
        <w:snapToGrid w:val="0"/>
        <w:spacing w:line="360" w:lineRule="auto"/>
        <w:rPr>
          <w:rFonts w:ascii="仿宋_GB2312" w:hAnsi="华文仿宋" w:eastAsia="仿宋_GB2312"/>
          <w:sz w:val="28"/>
          <w:szCs w:val="28"/>
        </w:rPr>
      </w:pPr>
    </w:p>
    <w:p w14:paraId="17ACF0E9">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40CD8ED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EECCEE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6AE96DA">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539EBB6">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1FE1693E">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5FD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BF58C3A">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3DC2AA83">
      <w:pPr>
        <w:adjustRightInd w:val="0"/>
        <w:snapToGrid w:val="0"/>
        <w:spacing w:line="360" w:lineRule="auto"/>
        <w:rPr>
          <w:rFonts w:ascii="仿宋" w:hAnsi="仿宋" w:eastAsia="仿宋" w:cs="仿宋"/>
          <w:sz w:val="28"/>
          <w:szCs w:val="28"/>
        </w:rPr>
      </w:pPr>
    </w:p>
    <w:p w14:paraId="2D194253">
      <w:pPr>
        <w:adjustRightInd w:val="0"/>
        <w:snapToGrid w:val="0"/>
        <w:spacing w:line="360" w:lineRule="auto"/>
        <w:rPr>
          <w:rFonts w:ascii="仿宋" w:hAnsi="仿宋" w:eastAsia="仿宋" w:cs="仿宋"/>
          <w:sz w:val="28"/>
          <w:szCs w:val="28"/>
        </w:rPr>
      </w:pPr>
    </w:p>
    <w:p w14:paraId="484BE5E9">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3A6FAB45">
      <w:pPr>
        <w:adjustRightInd w:val="0"/>
        <w:snapToGrid w:val="0"/>
        <w:spacing w:line="360" w:lineRule="auto"/>
        <w:ind w:firstLine="2511" w:firstLineChars="897"/>
        <w:rPr>
          <w:rFonts w:ascii="仿宋" w:hAnsi="仿宋" w:eastAsia="仿宋" w:cs="仿宋"/>
          <w:sz w:val="28"/>
          <w:szCs w:val="28"/>
        </w:rPr>
      </w:pPr>
    </w:p>
    <w:p w14:paraId="309C21A9">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585DDDC0">
      <w:pPr>
        <w:widowControl/>
        <w:topLinePunct/>
        <w:spacing w:line="620" w:lineRule="exact"/>
        <w:rPr>
          <w:rFonts w:ascii="仿宋" w:hAnsi="仿宋" w:eastAsia="仿宋" w:cs="仿宋"/>
          <w:kern w:val="0"/>
          <w:sz w:val="28"/>
          <w:szCs w:val="28"/>
        </w:rPr>
      </w:pPr>
    </w:p>
    <w:p w14:paraId="1DE253A9">
      <w:pPr>
        <w:widowControl/>
        <w:topLinePunct/>
        <w:spacing w:line="620" w:lineRule="exa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57D647D6">
      <w:pPr>
        <w:widowControl/>
        <w:spacing w:line="480" w:lineRule="exact"/>
        <w:jc w:val="left"/>
        <w:rPr>
          <w:kern w:val="0"/>
          <w:szCs w:val="21"/>
        </w:rPr>
      </w:pPr>
    </w:p>
    <w:p w14:paraId="62CA5BAB">
      <w:pPr>
        <w:spacing w:line="480" w:lineRule="exact"/>
        <w:rPr>
          <w:rFonts w:ascii="宋体" w:hAnsi="宋体"/>
          <w:b/>
          <w:bCs/>
          <w:spacing w:val="15"/>
          <w:kern w:val="0"/>
          <w:sz w:val="28"/>
          <w:szCs w:val="28"/>
        </w:rPr>
      </w:pPr>
      <w:bookmarkStart w:id="0" w:name="_Toc17932"/>
      <w:r>
        <w:rPr>
          <w:rFonts w:hint="eastAsia" w:ascii="宋体" w:hAnsi="宋体"/>
          <w:b/>
          <w:bCs/>
          <w:spacing w:val="15"/>
          <w:kern w:val="0"/>
          <w:sz w:val="28"/>
          <w:szCs w:val="28"/>
        </w:rPr>
        <w:t>附件4</w:t>
      </w:r>
    </w:p>
    <w:p w14:paraId="7E34DFE0">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0"/>
    </w:p>
    <w:p w14:paraId="3C2C82C6"/>
    <w:p w14:paraId="50B979F1">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（被授权人姓名、职务）</w:t>
      </w:r>
      <w:r>
        <w:rPr>
          <w:rFonts w:hint="eastAsia" w:ascii="仿宋" w:hAnsi="仿宋" w:eastAsia="仿宋" w:cs="仿宋"/>
          <w:kern w:val="0"/>
          <w:sz w:val="28"/>
          <w:szCs w:val="28"/>
        </w:rPr>
        <w:t>为本单位的合法代理人，并将以本单位名义处理一切与</w:t>
      </w:r>
      <w:r>
        <w:rPr>
          <w:rFonts w:hint="eastAsia" w:ascii="仿宋" w:hAnsi="仿宋" w:eastAsia="仿宋" w:cs="仿宋"/>
          <w:kern w:val="0"/>
          <w:sz w:val="28"/>
          <w:szCs w:val="28"/>
          <w:u w:val="single"/>
        </w:rPr>
        <w:t>　    　（采购项目名称）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1928415B">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175C0454">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632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CA08AC0">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6A692210">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567A904A">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69B0CFAE">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D9F4174">
      <w:pPr>
        <w:pStyle w:val="4"/>
        <w:rPr>
          <w:rFonts w:ascii="仿宋" w:hAnsi="仿宋" w:eastAsia="仿宋" w:cs="仿宋"/>
          <w:sz w:val="28"/>
          <w:szCs w:val="28"/>
        </w:rPr>
      </w:pPr>
    </w:p>
    <w:p w14:paraId="0FC53FA2">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4A069BAD">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6402AED">
      <w:pPr>
        <w:spacing w:line="480" w:lineRule="exact"/>
        <w:rPr>
          <w:rFonts w:ascii="宋体" w:hAnsi="宋体"/>
          <w:b/>
          <w:bCs/>
          <w:kern w:val="0"/>
          <w:sz w:val="28"/>
          <w:szCs w:val="28"/>
        </w:rPr>
      </w:pPr>
      <w:r>
        <w:rPr>
          <w:rFonts w:hint="eastAsia" w:ascii="宋体" w:hAnsi="宋体"/>
          <w:b/>
          <w:bCs/>
          <w:kern w:val="0"/>
          <w:sz w:val="28"/>
          <w:szCs w:val="28"/>
        </w:rPr>
        <w:br w:type="page"/>
      </w:r>
    </w:p>
    <w:p w14:paraId="6660B729">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424F0946">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76F86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676A502E">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20F0537">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79ED53CB">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27E87883">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47688BB9">
            <w:pPr>
              <w:topLinePunct/>
              <w:spacing w:line="440" w:lineRule="exact"/>
              <w:jc w:val="center"/>
              <w:rPr>
                <w:rFonts w:ascii="仿宋" w:hAnsi="仿宋" w:eastAsia="仿宋" w:cs="仿宋"/>
                <w:sz w:val="24"/>
              </w:rPr>
            </w:pPr>
          </w:p>
        </w:tc>
      </w:tr>
      <w:tr w14:paraId="21C70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E4DE47A">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F33D426">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B341BAA">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F490225">
            <w:pPr>
              <w:topLinePunct/>
              <w:spacing w:line="440" w:lineRule="exact"/>
              <w:jc w:val="center"/>
              <w:rPr>
                <w:rFonts w:ascii="仿宋" w:hAnsi="仿宋" w:eastAsia="仿宋" w:cs="仿宋"/>
                <w:sz w:val="24"/>
              </w:rPr>
            </w:pPr>
          </w:p>
        </w:tc>
      </w:tr>
      <w:tr w14:paraId="63671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B4F3151">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55025D23">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A4CC56B">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619B2D4">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CBDA029">
            <w:pPr>
              <w:topLinePunct/>
              <w:spacing w:line="440" w:lineRule="exact"/>
              <w:jc w:val="center"/>
              <w:rPr>
                <w:rFonts w:ascii="仿宋" w:hAnsi="仿宋" w:eastAsia="仿宋" w:cs="仿宋"/>
                <w:sz w:val="24"/>
              </w:rPr>
            </w:pPr>
          </w:p>
        </w:tc>
      </w:tr>
      <w:tr w14:paraId="64F687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99F7F4D">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17F5C164">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88B7B26">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D5BE064">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08311A8D">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621BF9B7">
            <w:pPr>
              <w:topLinePunct/>
              <w:spacing w:line="440" w:lineRule="exact"/>
              <w:jc w:val="center"/>
              <w:rPr>
                <w:rFonts w:ascii="仿宋" w:hAnsi="仿宋" w:eastAsia="仿宋" w:cs="仿宋"/>
                <w:sz w:val="24"/>
              </w:rPr>
            </w:pPr>
          </w:p>
        </w:tc>
      </w:tr>
      <w:tr w14:paraId="6B5BE2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6DD10A9B">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BC541A5">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5BE9491">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EC031C0">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75C1086">
            <w:pPr>
              <w:topLinePunct/>
              <w:spacing w:line="440" w:lineRule="exact"/>
              <w:ind w:firstLine="120" w:firstLineChars="50"/>
              <w:jc w:val="center"/>
              <w:rPr>
                <w:rFonts w:ascii="仿宋" w:hAnsi="仿宋" w:eastAsia="仿宋" w:cs="仿宋"/>
                <w:sz w:val="24"/>
              </w:rPr>
            </w:pPr>
          </w:p>
        </w:tc>
      </w:tr>
      <w:tr w14:paraId="266B5F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62D408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957C377">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88F852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948D7B8">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CB3A2A5">
            <w:pPr>
              <w:topLinePunct/>
              <w:spacing w:line="440" w:lineRule="exact"/>
              <w:ind w:firstLine="120" w:firstLineChars="50"/>
              <w:jc w:val="center"/>
              <w:rPr>
                <w:rFonts w:ascii="仿宋" w:hAnsi="仿宋" w:eastAsia="仿宋" w:cs="仿宋"/>
                <w:sz w:val="24"/>
              </w:rPr>
            </w:pPr>
          </w:p>
        </w:tc>
      </w:tr>
      <w:tr w14:paraId="664893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5F5926E">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70086B2">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B6C538E">
            <w:pPr>
              <w:topLinePunct/>
              <w:spacing w:line="440" w:lineRule="exact"/>
              <w:ind w:firstLine="120" w:firstLineChars="50"/>
              <w:jc w:val="center"/>
              <w:rPr>
                <w:rFonts w:ascii="仿宋" w:hAnsi="仿宋" w:eastAsia="仿宋" w:cs="仿宋"/>
                <w:sz w:val="24"/>
              </w:rPr>
            </w:pPr>
          </w:p>
        </w:tc>
      </w:tr>
      <w:tr w14:paraId="15F822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1EB59DC">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1A39AD7">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F8CEA2A">
            <w:pPr>
              <w:topLinePunct/>
              <w:spacing w:line="440" w:lineRule="exact"/>
              <w:ind w:firstLine="120" w:firstLineChars="50"/>
              <w:jc w:val="center"/>
              <w:rPr>
                <w:rFonts w:ascii="仿宋" w:hAnsi="仿宋" w:eastAsia="仿宋" w:cs="仿宋"/>
                <w:sz w:val="24"/>
              </w:rPr>
            </w:pPr>
          </w:p>
        </w:tc>
      </w:tr>
      <w:tr w14:paraId="388C3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EC484E7">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6A0B002">
            <w:pPr>
              <w:topLinePunct/>
              <w:spacing w:line="440" w:lineRule="exact"/>
              <w:jc w:val="center"/>
              <w:rPr>
                <w:rFonts w:ascii="仿宋" w:hAnsi="仿宋" w:eastAsia="仿宋" w:cs="仿宋"/>
                <w:sz w:val="24"/>
              </w:rPr>
            </w:pPr>
          </w:p>
        </w:tc>
      </w:tr>
      <w:tr w14:paraId="257CA5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A60848E">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321B56D">
            <w:pPr>
              <w:topLinePunct/>
              <w:spacing w:line="440" w:lineRule="exact"/>
              <w:jc w:val="center"/>
              <w:rPr>
                <w:rFonts w:ascii="仿宋" w:hAnsi="仿宋" w:eastAsia="仿宋" w:cs="仿宋"/>
                <w:sz w:val="24"/>
              </w:rPr>
            </w:pPr>
          </w:p>
        </w:tc>
      </w:tr>
      <w:tr w14:paraId="030B8E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90DE762">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FFC1AAE">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7285DC4A">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0E9F8027">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32F1F09">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1D374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ACB74E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691FB81">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A6A983F">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FC9B3BF">
            <w:pPr>
              <w:topLinePunct/>
              <w:spacing w:line="440" w:lineRule="exact"/>
              <w:jc w:val="center"/>
              <w:rPr>
                <w:rFonts w:ascii="仿宋" w:hAnsi="仿宋" w:eastAsia="仿宋" w:cs="仿宋"/>
                <w:sz w:val="24"/>
              </w:rPr>
            </w:pPr>
          </w:p>
        </w:tc>
      </w:tr>
      <w:tr w14:paraId="40F6DD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9908871">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4917DC8">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E7E4ADB">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DCF9C1E">
            <w:pPr>
              <w:topLinePunct/>
              <w:spacing w:line="440" w:lineRule="exact"/>
              <w:jc w:val="center"/>
              <w:rPr>
                <w:rFonts w:ascii="仿宋" w:hAnsi="仿宋" w:eastAsia="仿宋" w:cs="仿宋"/>
                <w:sz w:val="24"/>
              </w:rPr>
            </w:pPr>
          </w:p>
        </w:tc>
      </w:tr>
      <w:tr w14:paraId="62FF0D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5C0B9E0">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97AD6C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50AB55E">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9290C57">
            <w:pPr>
              <w:topLinePunct/>
              <w:spacing w:line="440" w:lineRule="exact"/>
              <w:jc w:val="center"/>
              <w:rPr>
                <w:rFonts w:ascii="仿宋" w:hAnsi="仿宋" w:eastAsia="仿宋" w:cs="仿宋"/>
                <w:sz w:val="24"/>
              </w:rPr>
            </w:pPr>
          </w:p>
        </w:tc>
      </w:tr>
      <w:tr w14:paraId="48F1C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6E0B965">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19DBA6B1">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46725BE0">
      <w:pPr>
        <w:widowControl/>
        <w:spacing w:line="480" w:lineRule="exact"/>
        <w:rPr>
          <w:rFonts w:ascii="仿宋" w:hAnsi="仿宋" w:eastAsia="仿宋"/>
          <w:kern w:val="0"/>
          <w:sz w:val="28"/>
          <w:szCs w:val="28"/>
        </w:rPr>
      </w:pPr>
    </w:p>
    <w:p w14:paraId="3460FE5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3CD072E1">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7136B170">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4FBA36B9">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5906EE7B">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5"/>
        <w:tblW w:w="93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4C73FB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14:paraId="38C83D20">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1FD31A73">
            <w:pPr>
              <w:spacing w:line="420" w:lineRule="exact"/>
              <w:rPr>
                <w:rFonts w:ascii="仿宋" w:hAnsi="仿宋" w:eastAsia="仿宋" w:cs="仿宋"/>
                <w:sz w:val="28"/>
                <w:szCs w:val="28"/>
              </w:rPr>
            </w:pPr>
            <w:r>
              <w:rPr>
                <w:rFonts w:ascii="仿宋" w:hAnsi="仿宋" w:eastAsia="仿宋" w:cs="仿宋"/>
                <w:sz w:val="28"/>
                <w:szCs w:val="28"/>
              </w:rPr>
              <w:t>衡阳市发展投资集团有限公司食堂油烟机清洗、化粪池（沉油池）清掏及杀虫灭害服务单位比选</w:t>
            </w:r>
          </w:p>
        </w:tc>
      </w:tr>
      <w:tr w14:paraId="08B8E2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1499" w:type="dxa"/>
            <w:tcBorders>
              <w:top w:val="single" w:color="auto" w:sz="6" w:space="0"/>
              <w:left w:val="double" w:color="auto" w:sz="4" w:space="0"/>
              <w:right w:val="single" w:color="auto" w:sz="6" w:space="0"/>
            </w:tcBorders>
            <w:vAlign w:val="center"/>
          </w:tcPr>
          <w:p w14:paraId="6D6F266E">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061E1D55">
            <w:pPr>
              <w:adjustRightInd w:val="0"/>
              <w:snapToGrid w:val="0"/>
              <w:spacing w:line="380" w:lineRule="exact"/>
              <w:rPr>
                <w:rFonts w:ascii="仿宋" w:hAnsi="仿宋" w:eastAsia="仿宋" w:cs="仿宋"/>
                <w:sz w:val="28"/>
                <w:szCs w:val="28"/>
              </w:rPr>
            </w:pPr>
            <w:r>
              <w:rPr>
                <w:rFonts w:ascii="仿宋" w:hAnsi="仿宋" w:eastAsia="仿宋" w:cs="仿宋"/>
                <w:sz w:val="28"/>
                <w:szCs w:val="28"/>
              </w:rPr>
              <w:t>现根据食堂卫生安全标准、卫生清洁要求，清洗排油烟管道、上下内排油烟罩面、排油烟口、风机、烟道、厨房器具等厨房设施；清运食堂油水分离器；化粪池（沉油池）清掏；对厨房的材料存放区、食材存放区、烹饪制作区、食材加工区、废料回收区、油污处理区以及食堂就餐区域的虫鼠蝇蚊等有害生物进行消杀、灭活处理，保证食品安全卫生环境。(具体服务内容在合同中明确)</w:t>
            </w:r>
          </w:p>
        </w:tc>
      </w:tr>
      <w:tr w14:paraId="46C8B0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499" w:type="dxa"/>
            <w:tcBorders>
              <w:left w:val="double" w:color="auto" w:sz="4" w:space="0"/>
              <w:right w:val="single" w:color="auto" w:sz="6" w:space="0"/>
            </w:tcBorders>
            <w:vAlign w:val="center"/>
          </w:tcPr>
          <w:p w14:paraId="51AAD197">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7067A85">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5B38D19E">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2DC0EA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81" w:hRule="atLeast"/>
        </w:trPr>
        <w:tc>
          <w:tcPr>
            <w:tcW w:w="1499" w:type="dxa"/>
            <w:tcBorders>
              <w:top w:val="single" w:color="auto" w:sz="6" w:space="0"/>
              <w:left w:val="double" w:color="auto" w:sz="4" w:space="0"/>
              <w:bottom w:val="single" w:color="auto" w:sz="6" w:space="0"/>
              <w:right w:val="single" w:color="auto" w:sz="6" w:space="0"/>
            </w:tcBorders>
            <w:vAlign w:val="center"/>
          </w:tcPr>
          <w:p w14:paraId="57024F03">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2ADBAC75">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05E0E5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14:paraId="6D400C71">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41E58B07">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EA303D5">
            <w:pPr>
              <w:spacing w:line="420" w:lineRule="exact"/>
              <w:ind w:firstLine="280" w:firstLineChars="100"/>
              <w:rPr>
                <w:rFonts w:ascii="仿宋" w:hAnsi="仿宋" w:eastAsia="仿宋" w:cs="仿宋"/>
                <w:sz w:val="28"/>
                <w:szCs w:val="28"/>
              </w:rPr>
            </w:pPr>
          </w:p>
        </w:tc>
      </w:tr>
      <w:tr w14:paraId="548780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trPr>
        <w:tc>
          <w:tcPr>
            <w:tcW w:w="1499" w:type="dxa"/>
            <w:tcBorders>
              <w:top w:val="single" w:color="auto" w:sz="6" w:space="0"/>
              <w:left w:val="double" w:color="auto" w:sz="4" w:space="0"/>
              <w:bottom w:val="double" w:color="auto" w:sz="4" w:space="0"/>
              <w:right w:val="single" w:color="auto" w:sz="6" w:space="0"/>
            </w:tcBorders>
            <w:vAlign w:val="center"/>
          </w:tcPr>
          <w:p w14:paraId="561F2C84">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6B5917EE">
            <w:pPr>
              <w:spacing w:line="420" w:lineRule="exact"/>
              <w:rPr>
                <w:rFonts w:ascii="仿宋" w:hAnsi="仿宋" w:eastAsia="仿宋" w:cs="仿宋"/>
                <w:sz w:val="24"/>
              </w:rPr>
            </w:pPr>
          </w:p>
        </w:tc>
      </w:tr>
    </w:tbl>
    <w:p w14:paraId="62DDA96A">
      <w:pPr>
        <w:widowControl/>
        <w:spacing w:line="480" w:lineRule="exact"/>
        <w:jc w:val="center"/>
        <w:rPr>
          <w:b/>
          <w:bCs/>
          <w:kern w:val="0"/>
          <w:sz w:val="28"/>
          <w:szCs w:val="28"/>
        </w:rPr>
      </w:pPr>
    </w:p>
    <w:p w14:paraId="6C8DC2D8">
      <w:pPr>
        <w:widowControl/>
        <w:spacing w:line="480" w:lineRule="exact"/>
        <w:rPr>
          <w:rFonts w:ascii="仿宋" w:hAnsi="仿宋" w:eastAsia="仿宋"/>
          <w:kern w:val="0"/>
          <w:sz w:val="28"/>
          <w:szCs w:val="28"/>
        </w:rPr>
      </w:pPr>
    </w:p>
    <w:p w14:paraId="5306D3C7">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4F1D2C46">
      <w:pPr>
        <w:widowControl/>
        <w:spacing w:line="480" w:lineRule="exact"/>
        <w:rPr>
          <w:rFonts w:ascii="仿宋" w:hAnsi="仿宋" w:eastAsia="仿宋"/>
          <w:kern w:val="0"/>
          <w:sz w:val="28"/>
          <w:szCs w:val="28"/>
        </w:rPr>
      </w:pPr>
    </w:p>
    <w:p w14:paraId="08CCB9F6">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71153456">
      <w:pPr>
        <w:widowControl/>
        <w:spacing w:line="480" w:lineRule="exact"/>
        <w:rPr>
          <w:rFonts w:ascii="仿宋" w:hAnsi="仿宋" w:eastAsia="仿宋"/>
          <w:kern w:val="0"/>
          <w:sz w:val="28"/>
          <w:szCs w:val="28"/>
        </w:rPr>
      </w:pPr>
    </w:p>
    <w:p w14:paraId="121A24A7">
      <w:pPr>
        <w:spacing w:line="480" w:lineRule="exact"/>
        <w:ind w:firstLine="4760" w:firstLineChars="1700"/>
      </w:pPr>
      <w:r>
        <w:rPr>
          <w:rFonts w:hint="eastAsia" w:ascii="仿宋" w:hAnsi="仿宋" w:eastAsia="仿宋"/>
          <w:kern w:val="0"/>
          <w:sz w:val="28"/>
          <w:szCs w:val="28"/>
        </w:rPr>
        <w:t>日期：   年   月   日</w:t>
      </w:r>
    </w:p>
    <w:p w14:paraId="2986B2B7">
      <w:pPr>
        <w:numPr>
          <w:ilvl w:val="0"/>
          <w:numId w:val="1"/>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14:paraId="204C6251">
      <w:pPr>
        <w:pStyle w:val="19"/>
        <w:rPr>
          <w:color w:val="auto"/>
        </w:rPr>
      </w:pPr>
    </w:p>
    <w:p w14:paraId="67C7EB44">
      <w:pPr>
        <w:widowControl/>
        <w:spacing w:line="480" w:lineRule="exact"/>
        <w:ind w:firstLine="622" w:firstLineChars="200"/>
        <w:jc w:val="left"/>
        <w:rPr>
          <w:rFonts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14:paraId="3BD5515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及参选文件资料参与比选。参选人不按要求参加比选会议的视其自动放弃比选资格。</w:t>
      </w:r>
    </w:p>
    <w:p w14:paraId="3FED5D7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14:paraId="7FF0622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（l）宣布开标纪律；</w:t>
      </w:r>
    </w:p>
    <w:p w14:paraId="25C82B5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14:paraId="1303812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14:paraId="4A18BAB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（4）对参选单位身份验证；</w:t>
      </w:r>
    </w:p>
    <w:p w14:paraId="1E6034D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（5）参选文件密封性检查；</w:t>
      </w:r>
    </w:p>
    <w:p w14:paraId="500822E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 xml:space="preserve">（6）唱标； </w:t>
      </w:r>
    </w:p>
    <w:p w14:paraId="247BD76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14:paraId="4C32FA3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（8）开标结束。</w:t>
      </w:r>
    </w:p>
    <w:p w14:paraId="2FC64C6F">
      <w:pPr>
        <w:spacing w:line="480" w:lineRule="exact"/>
        <w:ind w:firstLine="622" w:firstLineChars="200"/>
        <w:rPr>
          <w:rFonts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14:paraId="4629752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14:paraId="053EF2F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（1）参选文件是否按要求签字盖章；</w:t>
      </w:r>
    </w:p>
    <w:p w14:paraId="6093A25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（2）参选文件的组成是否完整；</w:t>
      </w:r>
    </w:p>
    <w:p w14:paraId="6976A73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（3）参选文件名称是否与营业执照、资质证书等相关文件上的名称一致；</w:t>
      </w:r>
    </w:p>
    <w:p w14:paraId="76FAF14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（4）参选单位的投标报价是否符合要求；</w:t>
      </w:r>
    </w:p>
    <w:p w14:paraId="3FA5DC4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（5）通过符合性评审合格的参选单位进入资格评审环节。</w:t>
      </w:r>
    </w:p>
    <w:p w14:paraId="26E53FC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2.参选文件的资格评审</w:t>
      </w:r>
    </w:p>
    <w:p w14:paraId="460A829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（1）满足比选须知前附表6资格要求的相关要求，参选单位需提供相关证明文件；</w:t>
      </w:r>
    </w:p>
    <w:p w14:paraId="426CB7C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（2）通过资格评审合格的参选单位进入报价评审环节。</w:t>
      </w:r>
    </w:p>
    <w:p w14:paraId="1AA3971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3.报价评审</w:t>
      </w:r>
    </w:p>
    <w:p w14:paraId="4EE52D2B">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对资格</w:t>
      </w:r>
      <w:r>
        <w:rPr>
          <w:rFonts w:hint="eastAsia" w:ascii="仿宋" w:hAnsi="仿宋" w:eastAsia="仿宋"/>
          <w:spacing w:val="15"/>
          <w:kern w:val="0"/>
          <w:sz w:val="28"/>
          <w:szCs w:val="28"/>
        </w:rPr>
        <w:t>、</w:t>
      </w:r>
      <w:r>
        <w:rPr>
          <w:rFonts w:ascii="仿宋" w:hAnsi="仿宋" w:eastAsia="仿宋"/>
          <w:spacing w:val="15"/>
          <w:kern w:val="0"/>
          <w:sz w:val="28"/>
          <w:szCs w:val="28"/>
        </w:rPr>
        <w:t>符合性评审符合要求的</w:t>
      </w:r>
      <w:r>
        <w:rPr>
          <w:rFonts w:hint="eastAsia" w:ascii="仿宋" w:hAnsi="仿宋" w:eastAsia="仿宋"/>
          <w:spacing w:val="15"/>
          <w:kern w:val="0"/>
          <w:sz w:val="28"/>
          <w:szCs w:val="28"/>
        </w:rPr>
        <w:t>参选单位</w:t>
      </w:r>
      <w:r>
        <w:rPr>
          <w:rFonts w:ascii="仿宋" w:hAnsi="仿宋" w:eastAsia="仿宋"/>
          <w:spacing w:val="15"/>
          <w:kern w:val="0"/>
          <w:sz w:val="28"/>
          <w:szCs w:val="28"/>
        </w:rPr>
        <w:t>进行报价评审，评标委员会按照“资格符合、报价最低”的原则选定服务单位，报价低于平均报价的</w:t>
      </w:r>
      <w:r>
        <w:rPr>
          <w:rFonts w:hint="eastAsia" w:ascii="仿宋" w:hAnsi="仿宋" w:eastAsia="仿宋"/>
          <w:spacing w:val="15"/>
          <w:kern w:val="0"/>
          <w:sz w:val="28"/>
          <w:szCs w:val="28"/>
        </w:rPr>
        <w:t>15</w:t>
      </w:r>
      <w:r>
        <w:rPr>
          <w:rFonts w:ascii="仿宋" w:hAnsi="仿宋" w:eastAsia="仿宋"/>
          <w:spacing w:val="15"/>
          <w:kern w:val="0"/>
          <w:sz w:val="28"/>
          <w:szCs w:val="28"/>
        </w:rPr>
        <w:t>%视为无效报价，最低报价相同的，按现场签到的先后时间顺序确定中选候选人排序。</w:t>
      </w:r>
    </w:p>
    <w:p w14:paraId="6C7D30E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比选须知文件未尽事宜，按国家、省、市相关法律法规的规定执行。</w:t>
      </w:r>
    </w:p>
    <w:p w14:paraId="73CDA237">
      <w:pPr>
        <w:pStyle w:val="19"/>
        <w:rPr>
          <w:color w:val="auto"/>
        </w:rPr>
      </w:pPr>
    </w:p>
    <w:sectPr>
      <w:headerReference r:id="rId9" w:type="default"/>
      <w:footerReference r:id="rId10"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33A681-DC3D-4342-AD49-BF5BECBD7A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1BE161B-BA4B-4CC5-A3F7-CFEE0E1DCD74}"/>
  </w:font>
  <w:font w:name="方正小标宋_GBK">
    <w:panose1 w:val="03000509000000000000"/>
    <w:charset w:val="86"/>
    <w:family w:val="auto"/>
    <w:pitch w:val="default"/>
    <w:sig w:usb0="00000001" w:usb1="080E0000" w:usb2="00000000" w:usb3="00000000" w:csb0="00040000" w:csb1="00000000"/>
    <w:embedRegular r:id="rId3" w:fontKey="{AC90753C-3E36-4A59-BFB3-DC00350C2FF2}"/>
  </w:font>
  <w:font w:name="方正仿宋_GB2312">
    <w:altName w:val="Malgun Gothic Semilight"/>
    <w:panose1 w:val="00000000000000000000"/>
    <w:charset w:val="86"/>
    <w:family w:val="auto"/>
    <w:pitch w:val="default"/>
    <w:sig w:usb0="00000000" w:usb1="00000000" w:usb2="00000012" w:usb3="00000000" w:csb0="00040001" w:csb1="00000000"/>
    <w:embedRegular r:id="rId4" w:fontKey="{7E9B0552-1C63-4403-B18F-8BEF398720BB}"/>
  </w:font>
  <w:font w:name="仿宋">
    <w:panose1 w:val="02010609060101010101"/>
    <w:charset w:val="86"/>
    <w:family w:val="modern"/>
    <w:pitch w:val="default"/>
    <w:sig w:usb0="800002BF" w:usb1="38CF7CFA" w:usb2="00000016" w:usb3="00000000" w:csb0="00040001" w:csb1="00000000"/>
    <w:embedRegular r:id="rId5" w:fontKey="{06E96CB8-0BF0-46C5-97B6-E7307AC6A552}"/>
  </w:font>
  <w:font w:name="华文仿宋">
    <w:panose1 w:val="02010600040101010101"/>
    <w:charset w:val="86"/>
    <w:family w:val="auto"/>
    <w:pitch w:val="default"/>
    <w:sig w:usb0="00000287" w:usb1="080F0000" w:usb2="00000000" w:usb3="00000000" w:csb0="0004009F" w:csb1="DFD70000"/>
    <w:embedRegular r:id="rId6" w:fontKey="{5077C04F-4C09-4F15-B92A-AF5B5A505DB8}"/>
  </w:font>
  <w:font w:name="楷体">
    <w:panose1 w:val="02010609060101010101"/>
    <w:charset w:val="86"/>
    <w:family w:val="modern"/>
    <w:pitch w:val="default"/>
    <w:sig w:usb0="800002BF" w:usb1="38CF7CFA" w:usb2="00000016" w:usb3="00000000" w:csb0="00040001" w:csb1="00000000"/>
    <w:embedRegular r:id="rId7" w:fontKey="{3FDDE260-5070-4D14-BD71-1094DD3AEABE}"/>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1574E7C7">
        <w:pPr>
          <w:pStyle w:val="11"/>
          <w:jc w:val="center"/>
        </w:pPr>
        <w:r>
          <w:fldChar w:fldCharType="begin"/>
        </w:r>
        <w:r>
          <w:instrText xml:space="preserve">PAGE   \* MERGEFORMAT</w:instrText>
        </w:r>
        <w:r>
          <w:fldChar w:fldCharType="separate"/>
        </w:r>
        <w:r>
          <w:rPr>
            <w:lang w:val="zh-CN"/>
          </w:rPr>
          <w:t>1</w:t>
        </w:r>
        <w:r>
          <w:fldChar w:fldCharType="end"/>
        </w:r>
      </w:p>
    </w:sdtContent>
  </w:sdt>
  <w:p w14:paraId="452D0260">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1238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4F131">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7DF9D">
                          <w:pPr>
                            <w:pStyle w:val="11"/>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377DF9D">
                    <w:pPr>
                      <w:pStyle w:val="11"/>
                    </w:pPr>
                    <w:r>
                      <w:fldChar w:fldCharType="begin"/>
                    </w:r>
                    <w:r>
                      <w:instrText xml:space="preserve"> PAGE  \* MERGEFORMAT </w:instrText>
                    </w:r>
                    <w:r>
                      <w:fldChar w:fldCharType="separate"/>
                    </w:r>
                    <w:r>
                      <w:t>21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AD0A02">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AD0A02">
                    <w:pPr>
                      <w:pStyle w:val="11"/>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94FB3">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540C3">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AD23">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AC4B9">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F6FDC">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70ADB3"/>
    <w:multiLevelType w:val="singleLevel"/>
    <w:tmpl w:val="4470ADB3"/>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zMDljNWZjZWEyNTAzM2M3MDEyZmE2YmJlOGRlYzkifQ=="/>
    <w:docVar w:name="KGWebUrl" w:val="http://oa.hxamc.com/weaver/weaver.file.FileDownloadForNews?uuid=48d63562-7bc7-4502-babf-f91cd2835403&amp;fileid=115589&amp;type=document&amp;isofficeview=0"/>
  </w:docVars>
  <w:rsids>
    <w:rsidRoot w:val="6E8513F5"/>
    <w:rsid w:val="004858FF"/>
    <w:rsid w:val="00577CA6"/>
    <w:rsid w:val="006275E2"/>
    <w:rsid w:val="00727D87"/>
    <w:rsid w:val="0097492C"/>
    <w:rsid w:val="00AB6487"/>
    <w:rsid w:val="00B73FE9"/>
    <w:rsid w:val="00CF1D6C"/>
    <w:rsid w:val="00D03433"/>
    <w:rsid w:val="00EA7123"/>
    <w:rsid w:val="011E3478"/>
    <w:rsid w:val="01500697"/>
    <w:rsid w:val="018E53BB"/>
    <w:rsid w:val="01A8210A"/>
    <w:rsid w:val="01B841E6"/>
    <w:rsid w:val="01F27450"/>
    <w:rsid w:val="01FC3891"/>
    <w:rsid w:val="02566131"/>
    <w:rsid w:val="02761F3B"/>
    <w:rsid w:val="029A7D90"/>
    <w:rsid w:val="02C41C50"/>
    <w:rsid w:val="02D63C99"/>
    <w:rsid w:val="02DD6899"/>
    <w:rsid w:val="02E34ED6"/>
    <w:rsid w:val="03041DBD"/>
    <w:rsid w:val="032B6C3A"/>
    <w:rsid w:val="03394CF0"/>
    <w:rsid w:val="03473B75"/>
    <w:rsid w:val="03905ADC"/>
    <w:rsid w:val="03996569"/>
    <w:rsid w:val="039D4805"/>
    <w:rsid w:val="039F0834"/>
    <w:rsid w:val="042A0CA0"/>
    <w:rsid w:val="043E1FEF"/>
    <w:rsid w:val="045718E3"/>
    <w:rsid w:val="04E91598"/>
    <w:rsid w:val="05451806"/>
    <w:rsid w:val="05624EF4"/>
    <w:rsid w:val="056902D2"/>
    <w:rsid w:val="056967E1"/>
    <w:rsid w:val="05756DE3"/>
    <w:rsid w:val="05B1370D"/>
    <w:rsid w:val="061F0AE6"/>
    <w:rsid w:val="064222D0"/>
    <w:rsid w:val="06500E91"/>
    <w:rsid w:val="06C5443F"/>
    <w:rsid w:val="06E96A95"/>
    <w:rsid w:val="07610E7C"/>
    <w:rsid w:val="0781179B"/>
    <w:rsid w:val="08065580"/>
    <w:rsid w:val="081E4F5F"/>
    <w:rsid w:val="083D3697"/>
    <w:rsid w:val="08C92C2E"/>
    <w:rsid w:val="09032B5D"/>
    <w:rsid w:val="093F333A"/>
    <w:rsid w:val="09715E3C"/>
    <w:rsid w:val="097A3797"/>
    <w:rsid w:val="09A51D4C"/>
    <w:rsid w:val="09B352D3"/>
    <w:rsid w:val="09B62700"/>
    <w:rsid w:val="0A1B478D"/>
    <w:rsid w:val="0A95265E"/>
    <w:rsid w:val="0B5F64B2"/>
    <w:rsid w:val="0B7A69B0"/>
    <w:rsid w:val="0BA53A2D"/>
    <w:rsid w:val="0C281C8D"/>
    <w:rsid w:val="0C346B5F"/>
    <w:rsid w:val="0C357C33"/>
    <w:rsid w:val="0C3C6C9A"/>
    <w:rsid w:val="0CAD2F27"/>
    <w:rsid w:val="0CC9374C"/>
    <w:rsid w:val="0CE146C4"/>
    <w:rsid w:val="0D4E0FEF"/>
    <w:rsid w:val="0D5A55DF"/>
    <w:rsid w:val="0D5B0597"/>
    <w:rsid w:val="0D6C2329"/>
    <w:rsid w:val="0D8F7A7E"/>
    <w:rsid w:val="0DDC3ED4"/>
    <w:rsid w:val="0E0B07B8"/>
    <w:rsid w:val="0E3015A8"/>
    <w:rsid w:val="0E3E5A73"/>
    <w:rsid w:val="0E4C33AC"/>
    <w:rsid w:val="0E9E6512"/>
    <w:rsid w:val="0EA7139C"/>
    <w:rsid w:val="0ED916D8"/>
    <w:rsid w:val="0EE571BB"/>
    <w:rsid w:val="0FB0474F"/>
    <w:rsid w:val="103F3D25"/>
    <w:rsid w:val="104C68AC"/>
    <w:rsid w:val="105A05B1"/>
    <w:rsid w:val="10CA0744"/>
    <w:rsid w:val="10CE0123"/>
    <w:rsid w:val="10D426BF"/>
    <w:rsid w:val="11226F4D"/>
    <w:rsid w:val="112460E6"/>
    <w:rsid w:val="11301FEB"/>
    <w:rsid w:val="11DC2296"/>
    <w:rsid w:val="121F3E0E"/>
    <w:rsid w:val="125267B3"/>
    <w:rsid w:val="12861ED5"/>
    <w:rsid w:val="12E74E6B"/>
    <w:rsid w:val="13083BA5"/>
    <w:rsid w:val="1367708D"/>
    <w:rsid w:val="136F0023"/>
    <w:rsid w:val="138A3509"/>
    <w:rsid w:val="13976F69"/>
    <w:rsid w:val="13AB14E0"/>
    <w:rsid w:val="13C644D5"/>
    <w:rsid w:val="13D84274"/>
    <w:rsid w:val="14064C7E"/>
    <w:rsid w:val="140A3F18"/>
    <w:rsid w:val="141244E8"/>
    <w:rsid w:val="142474B9"/>
    <w:rsid w:val="146141DF"/>
    <w:rsid w:val="14665D24"/>
    <w:rsid w:val="148D578D"/>
    <w:rsid w:val="14A168E7"/>
    <w:rsid w:val="14B140D6"/>
    <w:rsid w:val="150026A8"/>
    <w:rsid w:val="152A0CD3"/>
    <w:rsid w:val="15437E13"/>
    <w:rsid w:val="154E5444"/>
    <w:rsid w:val="156E1C8F"/>
    <w:rsid w:val="15A92036"/>
    <w:rsid w:val="15CB3543"/>
    <w:rsid w:val="160A73F8"/>
    <w:rsid w:val="161C05C8"/>
    <w:rsid w:val="16512DC9"/>
    <w:rsid w:val="16573AA7"/>
    <w:rsid w:val="167745B8"/>
    <w:rsid w:val="16781D3E"/>
    <w:rsid w:val="16850754"/>
    <w:rsid w:val="16F77107"/>
    <w:rsid w:val="16F82EC2"/>
    <w:rsid w:val="1706559C"/>
    <w:rsid w:val="172850DA"/>
    <w:rsid w:val="174F05A1"/>
    <w:rsid w:val="17D24C75"/>
    <w:rsid w:val="17F727BA"/>
    <w:rsid w:val="17F7717D"/>
    <w:rsid w:val="1806190D"/>
    <w:rsid w:val="180B10BC"/>
    <w:rsid w:val="18761BDB"/>
    <w:rsid w:val="190F698A"/>
    <w:rsid w:val="193066BD"/>
    <w:rsid w:val="19AF29F7"/>
    <w:rsid w:val="19B6182A"/>
    <w:rsid w:val="19EF24A3"/>
    <w:rsid w:val="1A364C38"/>
    <w:rsid w:val="1A5A58B6"/>
    <w:rsid w:val="1B4F51DF"/>
    <w:rsid w:val="1B6D0ED3"/>
    <w:rsid w:val="1B7E1BA5"/>
    <w:rsid w:val="1BA86C22"/>
    <w:rsid w:val="1BC3660E"/>
    <w:rsid w:val="1BC82E51"/>
    <w:rsid w:val="1C7020CB"/>
    <w:rsid w:val="1C9B0535"/>
    <w:rsid w:val="1CCE7468"/>
    <w:rsid w:val="1CD87093"/>
    <w:rsid w:val="1CDA105D"/>
    <w:rsid w:val="1CE912A0"/>
    <w:rsid w:val="1D185B91"/>
    <w:rsid w:val="1D484219"/>
    <w:rsid w:val="1D743260"/>
    <w:rsid w:val="1DA227A9"/>
    <w:rsid w:val="1DCB1624"/>
    <w:rsid w:val="1E3F4B15"/>
    <w:rsid w:val="1E40188A"/>
    <w:rsid w:val="1E8F5E77"/>
    <w:rsid w:val="1E92030E"/>
    <w:rsid w:val="1ED45CAB"/>
    <w:rsid w:val="1EDE45FC"/>
    <w:rsid w:val="1F52137F"/>
    <w:rsid w:val="1F5570C1"/>
    <w:rsid w:val="1FA70EB0"/>
    <w:rsid w:val="1FB5190D"/>
    <w:rsid w:val="1FC2158B"/>
    <w:rsid w:val="1FDB07C5"/>
    <w:rsid w:val="1FE13115"/>
    <w:rsid w:val="1FF044EA"/>
    <w:rsid w:val="1FF57F5C"/>
    <w:rsid w:val="204C4020"/>
    <w:rsid w:val="20591E34"/>
    <w:rsid w:val="20854536"/>
    <w:rsid w:val="20C56D5C"/>
    <w:rsid w:val="20D66578"/>
    <w:rsid w:val="20E879BE"/>
    <w:rsid w:val="211B128C"/>
    <w:rsid w:val="21470FA7"/>
    <w:rsid w:val="216A0B0A"/>
    <w:rsid w:val="2171021B"/>
    <w:rsid w:val="217E55A9"/>
    <w:rsid w:val="21FC2DBE"/>
    <w:rsid w:val="225B1B58"/>
    <w:rsid w:val="22897C0B"/>
    <w:rsid w:val="229C5B1A"/>
    <w:rsid w:val="22B83631"/>
    <w:rsid w:val="22BE6D2B"/>
    <w:rsid w:val="22D93E0F"/>
    <w:rsid w:val="2322375E"/>
    <w:rsid w:val="233429F8"/>
    <w:rsid w:val="23533F67"/>
    <w:rsid w:val="23612324"/>
    <w:rsid w:val="23722500"/>
    <w:rsid w:val="239C3958"/>
    <w:rsid w:val="23A61C99"/>
    <w:rsid w:val="23D41D17"/>
    <w:rsid w:val="23F15084"/>
    <w:rsid w:val="2452597D"/>
    <w:rsid w:val="24DD793C"/>
    <w:rsid w:val="259A582D"/>
    <w:rsid w:val="26432F9D"/>
    <w:rsid w:val="26865DB2"/>
    <w:rsid w:val="2692745C"/>
    <w:rsid w:val="26A526DC"/>
    <w:rsid w:val="275639D6"/>
    <w:rsid w:val="278E2729"/>
    <w:rsid w:val="279C55DC"/>
    <w:rsid w:val="27C26BCC"/>
    <w:rsid w:val="280A513D"/>
    <w:rsid w:val="281100FE"/>
    <w:rsid w:val="283346EC"/>
    <w:rsid w:val="287A2A85"/>
    <w:rsid w:val="2886653D"/>
    <w:rsid w:val="28956780"/>
    <w:rsid w:val="28A54C15"/>
    <w:rsid w:val="28CD7CC8"/>
    <w:rsid w:val="28E26544"/>
    <w:rsid w:val="28F015C1"/>
    <w:rsid w:val="28F416F8"/>
    <w:rsid w:val="290E4B79"/>
    <w:rsid w:val="292956A6"/>
    <w:rsid w:val="29855014"/>
    <w:rsid w:val="29D054FB"/>
    <w:rsid w:val="2A107348"/>
    <w:rsid w:val="2AA0743E"/>
    <w:rsid w:val="2AAE2211"/>
    <w:rsid w:val="2ABD2874"/>
    <w:rsid w:val="2ACE06A4"/>
    <w:rsid w:val="2B295022"/>
    <w:rsid w:val="2B5B780D"/>
    <w:rsid w:val="2B7B4B38"/>
    <w:rsid w:val="2BBE1B4A"/>
    <w:rsid w:val="2C364F00"/>
    <w:rsid w:val="2C5E4001"/>
    <w:rsid w:val="2CA12B77"/>
    <w:rsid w:val="2CB64701"/>
    <w:rsid w:val="2CE57AC3"/>
    <w:rsid w:val="2CE85495"/>
    <w:rsid w:val="2D3175C6"/>
    <w:rsid w:val="2D355E3C"/>
    <w:rsid w:val="2D4A7B39"/>
    <w:rsid w:val="2D57250A"/>
    <w:rsid w:val="2D7B022F"/>
    <w:rsid w:val="2DFD4BAB"/>
    <w:rsid w:val="2E1563DF"/>
    <w:rsid w:val="2E463EBE"/>
    <w:rsid w:val="2E4A0987"/>
    <w:rsid w:val="2E735971"/>
    <w:rsid w:val="2F08082A"/>
    <w:rsid w:val="2F236894"/>
    <w:rsid w:val="2F350A84"/>
    <w:rsid w:val="2F454D87"/>
    <w:rsid w:val="2F4B7B98"/>
    <w:rsid w:val="2F68200A"/>
    <w:rsid w:val="2F6D396B"/>
    <w:rsid w:val="2F760342"/>
    <w:rsid w:val="2F805A94"/>
    <w:rsid w:val="2F827A5E"/>
    <w:rsid w:val="2FB120F1"/>
    <w:rsid w:val="2FC9403D"/>
    <w:rsid w:val="2FD732E5"/>
    <w:rsid w:val="2FDB474A"/>
    <w:rsid w:val="2FF206FB"/>
    <w:rsid w:val="2FFF5A89"/>
    <w:rsid w:val="30F27492"/>
    <w:rsid w:val="31304DFE"/>
    <w:rsid w:val="316A07AA"/>
    <w:rsid w:val="31C67868"/>
    <w:rsid w:val="31E6638F"/>
    <w:rsid w:val="32052280"/>
    <w:rsid w:val="324B0F45"/>
    <w:rsid w:val="324D55F8"/>
    <w:rsid w:val="3261306E"/>
    <w:rsid w:val="327B50A3"/>
    <w:rsid w:val="32B358D5"/>
    <w:rsid w:val="32FE1D85"/>
    <w:rsid w:val="3301297C"/>
    <w:rsid w:val="331E1812"/>
    <w:rsid w:val="33463D5A"/>
    <w:rsid w:val="335D42AC"/>
    <w:rsid w:val="33750268"/>
    <w:rsid w:val="339A7374"/>
    <w:rsid w:val="33DC1707"/>
    <w:rsid w:val="33F60984"/>
    <w:rsid w:val="340842AA"/>
    <w:rsid w:val="341B4A8C"/>
    <w:rsid w:val="342A40F6"/>
    <w:rsid w:val="343B642D"/>
    <w:rsid w:val="346F2688"/>
    <w:rsid w:val="34993154"/>
    <w:rsid w:val="34CC177B"/>
    <w:rsid w:val="350324ED"/>
    <w:rsid w:val="3541482A"/>
    <w:rsid w:val="35633E8E"/>
    <w:rsid w:val="357A6B67"/>
    <w:rsid w:val="35CD57AB"/>
    <w:rsid w:val="369752F7"/>
    <w:rsid w:val="36BD11F9"/>
    <w:rsid w:val="37495343"/>
    <w:rsid w:val="375D7A2B"/>
    <w:rsid w:val="37623CD1"/>
    <w:rsid w:val="37647A49"/>
    <w:rsid w:val="37712AB1"/>
    <w:rsid w:val="37EA0AA2"/>
    <w:rsid w:val="382014AF"/>
    <w:rsid w:val="38F848ED"/>
    <w:rsid w:val="3916393F"/>
    <w:rsid w:val="3926472A"/>
    <w:rsid w:val="3942200C"/>
    <w:rsid w:val="394B239C"/>
    <w:rsid w:val="397E1BE3"/>
    <w:rsid w:val="39924D42"/>
    <w:rsid w:val="39D8471E"/>
    <w:rsid w:val="39F520EB"/>
    <w:rsid w:val="3A2B7D28"/>
    <w:rsid w:val="3A3802A6"/>
    <w:rsid w:val="3A57018C"/>
    <w:rsid w:val="3AA67255"/>
    <w:rsid w:val="3AB06159"/>
    <w:rsid w:val="3AC70A1B"/>
    <w:rsid w:val="3AFE01B5"/>
    <w:rsid w:val="3B0268B2"/>
    <w:rsid w:val="3B140D5F"/>
    <w:rsid w:val="3B5E12EE"/>
    <w:rsid w:val="3B64626A"/>
    <w:rsid w:val="3B8E778B"/>
    <w:rsid w:val="3B9E4539"/>
    <w:rsid w:val="3BAA5C47"/>
    <w:rsid w:val="3BC203D3"/>
    <w:rsid w:val="3BC23901"/>
    <w:rsid w:val="3C557E98"/>
    <w:rsid w:val="3C821171"/>
    <w:rsid w:val="3C85293C"/>
    <w:rsid w:val="3CAF79B9"/>
    <w:rsid w:val="3D7A72BF"/>
    <w:rsid w:val="3D7D1865"/>
    <w:rsid w:val="3D9848F1"/>
    <w:rsid w:val="3E0022E3"/>
    <w:rsid w:val="3E143AEF"/>
    <w:rsid w:val="3E216694"/>
    <w:rsid w:val="3E500B4C"/>
    <w:rsid w:val="3E94330A"/>
    <w:rsid w:val="3E97680E"/>
    <w:rsid w:val="3EB44480"/>
    <w:rsid w:val="3EEF088A"/>
    <w:rsid w:val="3EF9316D"/>
    <w:rsid w:val="3EFA5515"/>
    <w:rsid w:val="3F1B5F44"/>
    <w:rsid w:val="3F1F5DA0"/>
    <w:rsid w:val="3F3601F1"/>
    <w:rsid w:val="3F8D373A"/>
    <w:rsid w:val="402B1C7A"/>
    <w:rsid w:val="4061721C"/>
    <w:rsid w:val="408D0011"/>
    <w:rsid w:val="408E0B98"/>
    <w:rsid w:val="4100323A"/>
    <w:rsid w:val="4149060F"/>
    <w:rsid w:val="41531E07"/>
    <w:rsid w:val="416074D3"/>
    <w:rsid w:val="416760A6"/>
    <w:rsid w:val="41967946"/>
    <w:rsid w:val="41CE268F"/>
    <w:rsid w:val="41DB1CB4"/>
    <w:rsid w:val="41F076C9"/>
    <w:rsid w:val="42311E19"/>
    <w:rsid w:val="42914579"/>
    <w:rsid w:val="42B80EC8"/>
    <w:rsid w:val="42D2382D"/>
    <w:rsid w:val="42EF5A67"/>
    <w:rsid w:val="430A0B4C"/>
    <w:rsid w:val="43497172"/>
    <w:rsid w:val="434B6EF0"/>
    <w:rsid w:val="43C83EB2"/>
    <w:rsid w:val="445B2CE2"/>
    <w:rsid w:val="448A0963"/>
    <w:rsid w:val="44AC3A83"/>
    <w:rsid w:val="44B02520"/>
    <w:rsid w:val="44D212AD"/>
    <w:rsid w:val="44EF2547"/>
    <w:rsid w:val="45376375"/>
    <w:rsid w:val="45843A44"/>
    <w:rsid w:val="459C0CF6"/>
    <w:rsid w:val="45A007E6"/>
    <w:rsid w:val="45D115DB"/>
    <w:rsid w:val="460F771A"/>
    <w:rsid w:val="46790470"/>
    <w:rsid w:val="46A00071"/>
    <w:rsid w:val="46AA1D4E"/>
    <w:rsid w:val="46E022EF"/>
    <w:rsid w:val="46E979A2"/>
    <w:rsid w:val="471F398D"/>
    <w:rsid w:val="47472F21"/>
    <w:rsid w:val="475665C7"/>
    <w:rsid w:val="475C698F"/>
    <w:rsid w:val="47731EFA"/>
    <w:rsid w:val="479A77C1"/>
    <w:rsid w:val="47AD2F03"/>
    <w:rsid w:val="4836117E"/>
    <w:rsid w:val="484F781F"/>
    <w:rsid w:val="486A50DB"/>
    <w:rsid w:val="490B41C9"/>
    <w:rsid w:val="496E51FF"/>
    <w:rsid w:val="498E0B70"/>
    <w:rsid w:val="49BE2A0A"/>
    <w:rsid w:val="4A31389A"/>
    <w:rsid w:val="4A527BD5"/>
    <w:rsid w:val="4A5B358F"/>
    <w:rsid w:val="4A670C31"/>
    <w:rsid w:val="4ADC72BE"/>
    <w:rsid w:val="4AF64A04"/>
    <w:rsid w:val="4B185640"/>
    <w:rsid w:val="4B653A82"/>
    <w:rsid w:val="4B897627"/>
    <w:rsid w:val="4BE34975"/>
    <w:rsid w:val="4C5777AA"/>
    <w:rsid w:val="4C6E6818"/>
    <w:rsid w:val="4D2C4621"/>
    <w:rsid w:val="4D3F08E5"/>
    <w:rsid w:val="4DA8648A"/>
    <w:rsid w:val="4DD1609C"/>
    <w:rsid w:val="4DED0341"/>
    <w:rsid w:val="4E492E79"/>
    <w:rsid w:val="4E521354"/>
    <w:rsid w:val="4E604FB7"/>
    <w:rsid w:val="4EB2061D"/>
    <w:rsid w:val="4ED70B78"/>
    <w:rsid w:val="4EF41136"/>
    <w:rsid w:val="4F0278A0"/>
    <w:rsid w:val="4F2F6737"/>
    <w:rsid w:val="4F635353"/>
    <w:rsid w:val="4F8053FC"/>
    <w:rsid w:val="4FD06879"/>
    <w:rsid w:val="50295C43"/>
    <w:rsid w:val="506D7517"/>
    <w:rsid w:val="508A6E37"/>
    <w:rsid w:val="50C57353"/>
    <w:rsid w:val="50CE7D3D"/>
    <w:rsid w:val="510175B8"/>
    <w:rsid w:val="510E4700"/>
    <w:rsid w:val="51145BE4"/>
    <w:rsid w:val="512155DC"/>
    <w:rsid w:val="512E4C18"/>
    <w:rsid w:val="5175733A"/>
    <w:rsid w:val="51996594"/>
    <w:rsid w:val="51C770FB"/>
    <w:rsid w:val="51E67581"/>
    <w:rsid w:val="520F2674"/>
    <w:rsid w:val="520F496B"/>
    <w:rsid w:val="521D4F6D"/>
    <w:rsid w:val="52A2537B"/>
    <w:rsid w:val="52B72CCB"/>
    <w:rsid w:val="52EB4BAA"/>
    <w:rsid w:val="53120610"/>
    <w:rsid w:val="53691386"/>
    <w:rsid w:val="53BE3F28"/>
    <w:rsid w:val="544B7B6A"/>
    <w:rsid w:val="54A60154"/>
    <w:rsid w:val="54F40D0A"/>
    <w:rsid w:val="55382BA4"/>
    <w:rsid w:val="55BE4C30"/>
    <w:rsid w:val="55D7555A"/>
    <w:rsid w:val="560324CA"/>
    <w:rsid w:val="567E2550"/>
    <w:rsid w:val="56D7393C"/>
    <w:rsid w:val="57305E0A"/>
    <w:rsid w:val="5797457F"/>
    <w:rsid w:val="57B00D9C"/>
    <w:rsid w:val="57D139A2"/>
    <w:rsid w:val="58077BC8"/>
    <w:rsid w:val="5827389A"/>
    <w:rsid w:val="58536643"/>
    <w:rsid w:val="58564D34"/>
    <w:rsid w:val="5874777C"/>
    <w:rsid w:val="58AE691E"/>
    <w:rsid w:val="590E560F"/>
    <w:rsid w:val="598332BB"/>
    <w:rsid w:val="598C3104"/>
    <w:rsid w:val="59C925A4"/>
    <w:rsid w:val="59D40AF6"/>
    <w:rsid w:val="59D40F03"/>
    <w:rsid w:val="59E26C8B"/>
    <w:rsid w:val="5A1C61C8"/>
    <w:rsid w:val="5A6A5AF8"/>
    <w:rsid w:val="5A702CE3"/>
    <w:rsid w:val="5A731BCE"/>
    <w:rsid w:val="5A9F2E94"/>
    <w:rsid w:val="5AB05F4D"/>
    <w:rsid w:val="5AB57F91"/>
    <w:rsid w:val="5AF251E8"/>
    <w:rsid w:val="5BAD1E2B"/>
    <w:rsid w:val="5BBF58B4"/>
    <w:rsid w:val="5BC40A3F"/>
    <w:rsid w:val="5BC760BB"/>
    <w:rsid w:val="5BCC08D1"/>
    <w:rsid w:val="5BD76CDF"/>
    <w:rsid w:val="5C4557B5"/>
    <w:rsid w:val="5D041624"/>
    <w:rsid w:val="5D3545F3"/>
    <w:rsid w:val="5D495005"/>
    <w:rsid w:val="5D916C44"/>
    <w:rsid w:val="5D9A471F"/>
    <w:rsid w:val="5DD47E86"/>
    <w:rsid w:val="5DE56DB4"/>
    <w:rsid w:val="5EED299C"/>
    <w:rsid w:val="5F52528A"/>
    <w:rsid w:val="5F872946"/>
    <w:rsid w:val="602E6A97"/>
    <w:rsid w:val="603658A5"/>
    <w:rsid w:val="6065020A"/>
    <w:rsid w:val="60AA5873"/>
    <w:rsid w:val="60AC4BD0"/>
    <w:rsid w:val="615564D1"/>
    <w:rsid w:val="61565DA5"/>
    <w:rsid w:val="61B72597"/>
    <w:rsid w:val="61D770D4"/>
    <w:rsid w:val="61DE0EB4"/>
    <w:rsid w:val="61FC06FB"/>
    <w:rsid w:val="62324A13"/>
    <w:rsid w:val="62F31AFE"/>
    <w:rsid w:val="637E46EC"/>
    <w:rsid w:val="63CF3EF5"/>
    <w:rsid w:val="64170AC4"/>
    <w:rsid w:val="642D54E3"/>
    <w:rsid w:val="645A1FF5"/>
    <w:rsid w:val="64A2382B"/>
    <w:rsid w:val="64A31AB1"/>
    <w:rsid w:val="64B4350F"/>
    <w:rsid w:val="64BD0615"/>
    <w:rsid w:val="64C13892"/>
    <w:rsid w:val="64C71494"/>
    <w:rsid w:val="64D811DF"/>
    <w:rsid w:val="64FD6C64"/>
    <w:rsid w:val="653A7EB8"/>
    <w:rsid w:val="653C53F5"/>
    <w:rsid w:val="655414F5"/>
    <w:rsid w:val="655B5DF3"/>
    <w:rsid w:val="655C3B7E"/>
    <w:rsid w:val="656C3F5A"/>
    <w:rsid w:val="657038D9"/>
    <w:rsid w:val="6578453C"/>
    <w:rsid w:val="657F58CB"/>
    <w:rsid w:val="665B0CF7"/>
    <w:rsid w:val="66822308"/>
    <w:rsid w:val="66C73B2F"/>
    <w:rsid w:val="671F0122"/>
    <w:rsid w:val="672524A2"/>
    <w:rsid w:val="67720763"/>
    <w:rsid w:val="677A27ED"/>
    <w:rsid w:val="6799749C"/>
    <w:rsid w:val="680D70EE"/>
    <w:rsid w:val="68362271"/>
    <w:rsid w:val="6867713B"/>
    <w:rsid w:val="687A681D"/>
    <w:rsid w:val="687E630D"/>
    <w:rsid w:val="68816331"/>
    <w:rsid w:val="68BA0AEE"/>
    <w:rsid w:val="68BB3DB9"/>
    <w:rsid w:val="68F55EA4"/>
    <w:rsid w:val="69272501"/>
    <w:rsid w:val="692E34B5"/>
    <w:rsid w:val="694A1F36"/>
    <w:rsid w:val="69763488"/>
    <w:rsid w:val="69E422C5"/>
    <w:rsid w:val="6A65682A"/>
    <w:rsid w:val="6A8C5653"/>
    <w:rsid w:val="6A90057A"/>
    <w:rsid w:val="6A9E4A45"/>
    <w:rsid w:val="6AFB3C45"/>
    <w:rsid w:val="6B2333EC"/>
    <w:rsid w:val="6B7C40B1"/>
    <w:rsid w:val="6B9366F7"/>
    <w:rsid w:val="6BBA57F8"/>
    <w:rsid w:val="6BDD334B"/>
    <w:rsid w:val="6C19757C"/>
    <w:rsid w:val="6C2172E3"/>
    <w:rsid w:val="6C674161"/>
    <w:rsid w:val="6C7C7008"/>
    <w:rsid w:val="6CCD7863"/>
    <w:rsid w:val="6D4A2B29"/>
    <w:rsid w:val="6D884382"/>
    <w:rsid w:val="6DB97361"/>
    <w:rsid w:val="6E007112"/>
    <w:rsid w:val="6E69536A"/>
    <w:rsid w:val="6E8513F5"/>
    <w:rsid w:val="6EE36C66"/>
    <w:rsid w:val="6EE669BA"/>
    <w:rsid w:val="6EEC3A2C"/>
    <w:rsid w:val="6F1D56EE"/>
    <w:rsid w:val="6F466764"/>
    <w:rsid w:val="6F586D15"/>
    <w:rsid w:val="6F632E9C"/>
    <w:rsid w:val="6F722697"/>
    <w:rsid w:val="6F8F090F"/>
    <w:rsid w:val="6FD3742F"/>
    <w:rsid w:val="6FD444B7"/>
    <w:rsid w:val="6FD76303"/>
    <w:rsid w:val="6FD96193"/>
    <w:rsid w:val="6FF173C5"/>
    <w:rsid w:val="70096E04"/>
    <w:rsid w:val="703B1449"/>
    <w:rsid w:val="705F4C76"/>
    <w:rsid w:val="709A7A5C"/>
    <w:rsid w:val="70B07280"/>
    <w:rsid w:val="71503325"/>
    <w:rsid w:val="71526589"/>
    <w:rsid w:val="71D71133"/>
    <w:rsid w:val="72374DAB"/>
    <w:rsid w:val="72710856"/>
    <w:rsid w:val="7275720A"/>
    <w:rsid w:val="72A5093A"/>
    <w:rsid w:val="72A539B2"/>
    <w:rsid w:val="72F42ADE"/>
    <w:rsid w:val="73274D6C"/>
    <w:rsid w:val="7344188A"/>
    <w:rsid w:val="738F72E2"/>
    <w:rsid w:val="73F7090D"/>
    <w:rsid w:val="743133E3"/>
    <w:rsid w:val="744D3038"/>
    <w:rsid w:val="747F2F2B"/>
    <w:rsid w:val="74C13209"/>
    <w:rsid w:val="74FB3901"/>
    <w:rsid w:val="75A241B0"/>
    <w:rsid w:val="75EB379B"/>
    <w:rsid w:val="76023B98"/>
    <w:rsid w:val="7630230D"/>
    <w:rsid w:val="763D5388"/>
    <w:rsid w:val="764D5751"/>
    <w:rsid w:val="76B455F0"/>
    <w:rsid w:val="76C27D0D"/>
    <w:rsid w:val="76C360DC"/>
    <w:rsid w:val="76E9357C"/>
    <w:rsid w:val="771E25CC"/>
    <w:rsid w:val="7784359E"/>
    <w:rsid w:val="779A6594"/>
    <w:rsid w:val="77B27C24"/>
    <w:rsid w:val="77C16217"/>
    <w:rsid w:val="77E872FF"/>
    <w:rsid w:val="783A5FA7"/>
    <w:rsid w:val="78544995"/>
    <w:rsid w:val="788F00C3"/>
    <w:rsid w:val="78CD4747"/>
    <w:rsid w:val="78E33BC5"/>
    <w:rsid w:val="791F54A6"/>
    <w:rsid w:val="79350642"/>
    <w:rsid w:val="79986B03"/>
    <w:rsid w:val="79E021C9"/>
    <w:rsid w:val="7A2A00A3"/>
    <w:rsid w:val="7A434224"/>
    <w:rsid w:val="7A6631DA"/>
    <w:rsid w:val="7A8422E1"/>
    <w:rsid w:val="7A8F6158"/>
    <w:rsid w:val="7A9E283F"/>
    <w:rsid w:val="7B32464C"/>
    <w:rsid w:val="7BB265A2"/>
    <w:rsid w:val="7BBD4F47"/>
    <w:rsid w:val="7BED27A7"/>
    <w:rsid w:val="7BEE3352"/>
    <w:rsid w:val="7C024827"/>
    <w:rsid w:val="7C0B180E"/>
    <w:rsid w:val="7C3B6629"/>
    <w:rsid w:val="7C670F2A"/>
    <w:rsid w:val="7C7A50F1"/>
    <w:rsid w:val="7C850C31"/>
    <w:rsid w:val="7C9D616A"/>
    <w:rsid w:val="7CAA5BB2"/>
    <w:rsid w:val="7CB225D2"/>
    <w:rsid w:val="7CB24380"/>
    <w:rsid w:val="7CC76DD8"/>
    <w:rsid w:val="7D542745"/>
    <w:rsid w:val="7D553689"/>
    <w:rsid w:val="7D7B6E68"/>
    <w:rsid w:val="7D8B0D56"/>
    <w:rsid w:val="7D9819DE"/>
    <w:rsid w:val="7DDE5692"/>
    <w:rsid w:val="7DE60C95"/>
    <w:rsid w:val="7DEA6806"/>
    <w:rsid w:val="7E092DCD"/>
    <w:rsid w:val="7E0B4E7E"/>
    <w:rsid w:val="7E1C6DB5"/>
    <w:rsid w:val="7E2412AD"/>
    <w:rsid w:val="7E2E3BC7"/>
    <w:rsid w:val="7E422725"/>
    <w:rsid w:val="7E5535E0"/>
    <w:rsid w:val="7E5D49DE"/>
    <w:rsid w:val="7E7347A5"/>
    <w:rsid w:val="7E8E02F1"/>
    <w:rsid w:val="7EEC7FF7"/>
    <w:rsid w:val="7F201723"/>
    <w:rsid w:val="7F5B2AAD"/>
    <w:rsid w:val="7F625BE9"/>
    <w:rsid w:val="7F8738A2"/>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Plain Text"/>
    <w:basedOn w:val="1"/>
    <w:qFormat/>
    <w:uiPriority w:val="0"/>
    <w:rPr>
      <w:rFonts w:ascii="宋体" w:hAnsi="Courier New"/>
      <w:szCs w:val="21"/>
    </w:rPr>
  </w:style>
  <w:style w:type="paragraph" w:styleId="8">
    <w:name w:val="Body Text Indent 2"/>
    <w:basedOn w:val="1"/>
    <w:next w:val="9"/>
    <w:qFormat/>
    <w:uiPriority w:val="0"/>
    <w:pPr>
      <w:ind w:firstLine="640" w:firstLineChars="200"/>
    </w:pPr>
    <w:rPr>
      <w:color w:val="0000FF"/>
      <w:kern w:val="0"/>
      <w:sz w:val="32"/>
    </w:rPr>
  </w:style>
  <w:style w:type="paragraph" w:styleId="9">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alloon Text"/>
    <w:basedOn w:val="1"/>
    <w:link w:val="28"/>
    <w:qFormat/>
    <w:uiPriority w:val="0"/>
    <w:rPr>
      <w:sz w:val="18"/>
      <w:szCs w:val="18"/>
    </w:rPr>
  </w:style>
  <w:style w:type="paragraph" w:styleId="11">
    <w:name w:val="footer"/>
    <w:basedOn w:val="1"/>
    <w:semiHidden/>
    <w:unhideWhenUsed/>
    <w:qFormat/>
    <w:uiPriority w:val="99"/>
    <w:pPr>
      <w:tabs>
        <w:tab w:val="center" w:pos="4153"/>
        <w:tab w:val="right" w:pos="8306"/>
      </w:tabs>
      <w:snapToGrid w:val="0"/>
      <w:jc w:val="left"/>
    </w:pPr>
    <w:rPr>
      <w:sz w:val="18"/>
      <w:szCs w:val="18"/>
    </w:rPr>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kern w:val="0"/>
      <w:sz w:val="24"/>
    </w:rPr>
  </w:style>
  <w:style w:type="paragraph" w:styleId="14">
    <w:name w:val="Body Text First Indent 2"/>
    <w:basedOn w:val="5"/>
    <w:next w:val="3"/>
    <w:qFormat/>
    <w:uiPriority w:val="0"/>
    <w:pPr>
      <w:ind w:firstLine="420" w:firstLineChars="200"/>
    </w:pPr>
    <w:rPr>
      <w:rFonts w:ascii="宋体"/>
      <w:kern w:val="0"/>
      <w:sz w:val="2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paragraph" w:customStyle="1" w:styleId="19">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0">
    <w:name w:val="font21"/>
    <w:basedOn w:val="17"/>
    <w:qFormat/>
    <w:uiPriority w:val="0"/>
    <w:rPr>
      <w:rFonts w:hint="eastAsia" w:ascii="宋体" w:hAnsi="宋体" w:eastAsia="宋体" w:cs="宋体"/>
      <w:color w:val="000000"/>
      <w:sz w:val="28"/>
      <w:szCs w:val="28"/>
      <w:u w:val="none"/>
      <w:vertAlign w:val="superscript"/>
    </w:rPr>
  </w:style>
  <w:style w:type="character" w:customStyle="1" w:styleId="21">
    <w:name w:val="font61"/>
    <w:basedOn w:val="17"/>
    <w:qFormat/>
    <w:uiPriority w:val="0"/>
    <w:rPr>
      <w:rFonts w:hint="eastAsia" w:ascii="宋体" w:hAnsi="宋体" w:eastAsia="宋体" w:cs="宋体"/>
      <w:color w:val="000000"/>
      <w:sz w:val="28"/>
      <w:szCs w:val="28"/>
      <w:u w:val="none"/>
      <w:vertAlign w:val="superscript"/>
    </w:rPr>
  </w:style>
  <w:style w:type="character" w:customStyle="1" w:styleId="22">
    <w:name w:val="font01"/>
    <w:basedOn w:val="17"/>
    <w:qFormat/>
    <w:uiPriority w:val="0"/>
    <w:rPr>
      <w:rFonts w:hint="eastAsia" w:ascii="宋体" w:hAnsi="宋体" w:eastAsia="宋体" w:cs="宋体"/>
      <w:color w:val="000000"/>
      <w:sz w:val="28"/>
      <w:szCs w:val="28"/>
      <w:u w:val="none"/>
      <w:vertAlign w:val="superscript"/>
    </w:rPr>
  </w:style>
  <w:style w:type="paragraph" w:styleId="23">
    <w:name w:val="List Paragraph"/>
    <w:basedOn w:val="1"/>
    <w:unhideWhenUsed/>
    <w:qFormat/>
    <w:uiPriority w:val="99"/>
    <w:pPr>
      <w:ind w:firstLine="420" w:firstLineChars="200"/>
    </w:pPr>
  </w:style>
  <w:style w:type="paragraph" w:customStyle="1" w:styleId="24">
    <w:name w:val="Normal_0"/>
    <w:qFormat/>
    <w:uiPriority w:val="0"/>
    <w:rPr>
      <w:rFonts w:ascii="Calibri" w:hAnsi="Calibri" w:eastAsia="Times New Roman" w:cs="Times New Roman"/>
      <w:sz w:val="24"/>
      <w:szCs w:val="24"/>
      <w:lang w:val="en-US" w:eastAsia="zh-CN" w:bidi="ar-SA"/>
    </w:r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Table Text"/>
    <w:basedOn w:val="1"/>
    <w:semiHidden/>
    <w:qFormat/>
    <w:uiPriority w:val="0"/>
    <w:rPr>
      <w:rFonts w:ascii="宋体" w:hAnsi="宋体" w:cs="宋体"/>
      <w:sz w:val="11"/>
      <w:szCs w:val="11"/>
      <w:lang w:eastAsia="en-US"/>
    </w:rPr>
  </w:style>
  <w:style w:type="paragraph" w:customStyle="1" w:styleId="27">
    <w:name w:val="p0"/>
    <w:basedOn w:val="1"/>
    <w:qFormat/>
    <w:uiPriority w:val="0"/>
    <w:pPr>
      <w:widowControl/>
    </w:pPr>
    <w:rPr>
      <w:szCs w:val="21"/>
    </w:rPr>
  </w:style>
  <w:style w:type="character" w:customStyle="1" w:styleId="28">
    <w:name w:val="批注框文本 字符"/>
    <w:basedOn w:val="17"/>
    <w:link w:val="10"/>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1288</Words>
  <Characters>1433</Characters>
  <Lines>11</Lines>
  <Paragraphs>19</Paragraphs>
  <TotalTime>0</TotalTime>
  <ScaleCrop>false</ScaleCrop>
  <LinksUpToDate>false</LinksUpToDate>
  <CharactersWithSpaces>1479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2024-11-06T08:51:00Z</dcterms:created>
  <dc:creator>Administrator</dc:creator>
  <cp:lastModifiedBy>_盟</cp:lastModifiedBy>
  <cp:lastPrinted>2024-08-15T01:50:00Z</cp:lastPrinted>
  <dcterms:modified xsi:type="dcterms:W3CDTF">2024-11-19T02:58:39Z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FF809C6F1CFC49E99A034372F34DE49B_13</vt:lpwstr>
  </property>
</Properties>
</file>