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59A5B">
      <w:pPr>
        <w:spacing w:line="360" w:lineRule="auto"/>
        <w:rPr>
          <w:rFonts w:hint="eastAsia" w:ascii="方正小标宋_GBK" w:hAnsi="方正小标宋_GBK" w:eastAsia="方正小标宋_GBK" w:cs="方正小标宋_GBK"/>
          <w:bCs/>
          <w:sz w:val="56"/>
          <w:szCs w:val="56"/>
        </w:rPr>
      </w:pPr>
      <w:bookmarkStart w:id="1" w:name="_GoBack"/>
      <w:bookmarkEnd w:id="1"/>
    </w:p>
    <w:p w14:paraId="1A24A453">
      <w:pPr>
        <w:pStyle w:val="17"/>
        <w:ind w:firstLine="800"/>
        <w:rPr>
          <w:rFonts w:ascii="方正小标宋_GBK" w:hAnsi="方正小标宋_GBK" w:eastAsia="方正小标宋_GBK" w:cs="方正小标宋_GBK"/>
          <w:bCs/>
          <w:kern w:val="2"/>
          <w:sz w:val="40"/>
          <w:szCs w:val="32"/>
        </w:rPr>
      </w:pPr>
    </w:p>
    <w:p w14:paraId="3063BAC7">
      <w:pPr>
        <w:spacing w:line="360" w:lineRule="auto"/>
        <w:jc w:val="center"/>
        <w:rPr>
          <w:rFonts w:ascii="方正小标宋_GBK" w:hAnsi="方正小标宋_GBK" w:eastAsia="方正小标宋_GBK" w:cs="方正小标宋_GBK"/>
          <w:bCs/>
          <w:sz w:val="40"/>
          <w:szCs w:val="32"/>
          <w:u w:val="single"/>
        </w:rPr>
      </w:pPr>
      <w:r>
        <w:rPr>
          <w:rFonts w:hint="eastAsia" w:ascii="方正小标宋_GBK" w:hAnsi="方正小标宋_GBK" w:eastAsia="方正小标宋_GBK" w:cs="方正小标宋_GBK"/>
          <w:bCs/>
          <w:sz w:val="40"/>
          <w:szCs w:val="32"/>
          <w:u w:val="single"/>
        </w:rPr>
        <w:t>衡阳市发展投资集团有限公司职工食堂</w:t>
      </w:r>
    </w:p>
    <w:p w14:paraId="7A696239">
      <w:pPr>
        <w:spacing w:line="360" w:lineRule="auto"/>
        <w:jc w:val="center"/>
        <w:rPr>
          <w:rFonts w:ascii="方正小标宋_GBK" w:hAnsi="方正小标宋_GBK" w:eastAsia="方正小标宋_GBK" w:cs="方正小标宋_GBK"/>
          <w:bCs/>
          <w:sz w:val="56"/>
          <w:szCs w:val="56"/>
        </w:rPr>
      </w:pPr>
      <w:r>
        <w:rPr>
          <w:rFonts w:hint="eastAsia" w:ascii="方正小标宋_GBK" w:hAnsi="方正小标宋_GBK" w:eastAsia="方正小标宋_GBK" w:cs="方正小标宋_GBK"/>
          <w:bCs/>
          <w:sz w:val="40"/>
          <w:szCs w:val="32"/>
          <w:u w:val="single"/>
        </w:rPr>
        <w:t>食材采购配送服务</w:t>
      </w:r>
      <w:r>
        <w:rPr>
          <w:rFonts w:hint="eastAsia" w:ascii="方正小标宋_GBK" w:hAnsi="方正小标宋_GBK" w:eastAsia="方正小标宋_GBK" w:cs="方正小标宋_GBK"/>
          <w:bCs/>
          <w:sz w:val="40"/>
          <w:szCs w:val="32"/>
        </w:rPr>
        <w:t>项目</w:t>
      </w:r>
    </w:p>
    <w:p w14:paraId="69F96546">
      <w:pPr>
        <w:pStyle w:val="11"/>
        <w:ind w:firstLine="0" w:firstLineChars="0"/>
        <w:rPr>
          <w:sz w:val="36"/>
          <w:szCs w:val="36"/>
        </w:rPr>
      </w:pPr>
    </w:p>
    <w:p w14:paraId="392C9C31">
      <w:pPr>
        <w:pStyle w:val="8"/>
        <w:spacing w:line="480" w:lineRule="exact"/>
        <w:ind w:left="0" w:leftChars="0"/>
        <w:jc w:val="center"/>
        <w:rPr>
          <w:rFonts w:ascii="华文中宋" w:hAnsi="华文中宋" w:eastAsia="华文中宋"/>
          <w:b/>
          <w:sz w:val="48"/>
          <w:szCs w:val="48"/>
        </w:rPr>
      </w:pPr>
    </w:p>
    <w:p w14:paraId="447B193A">
      <w:pPr>
        <w:pStyle w:val="8"/>
        <w:spacing w:line="480" w:lineRule="exact"/>
        <w:ind w:left="0" w:leftChars="0"/>
        <w:rPr>
          <w:rFonts w:ascii="方正小标宋_GBK" w:hAnsi="方正小标宋_GBK" w:eastAsia="方正小标宋_GBK" w:cs="方正小标宋_GBK"/>
          <w:b/>
          <w:sz w:val="48"/>
          <w:szCs w:val="48"/>
        </w:rPr>
      </w:pPr>
    </w:p>
    <w:p w14:paraId="6C9B60B4">
      <w:pPr>
        <w:pStyle w:val="9"/>
      </w:pPr>
    </w:p>
    <w:p w14:paraId="3CF07050">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255C8C05">
      <w:pPr>
        <w:pStyle w:val="11"/>
        <w:ind w:firstLine="961"/>
        <w:rPr>
          <w:rFonts w:ascii="方正小标宋_GBK" w:hAnsi="方正小标宋_GBK" w:eastAsia="方正小标宋_GBK" w:cs="方正小标宋_GBK"/>
          <w:b/>
          <w:color w:val="auto"/>
          <w:kern w:val="2"/>
          <w:sz w:val="48"/>
          <w:szCs w:val="48"/>
        </w:rPr>
      </w:pPr>
    </w:p>
    <w:p w14:paraId="1A0522D6">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2C40A5E7">
      <w:pPr>
        <w:pStyle w:val="11"/>
        <w:ind w:firstLine="961"/>
        <w:rPr>
          <w:rFonts w:ascii="方正小标宋_GBK" w:hAnsi="方正小标宋_GBK" w:eastAsia="方正小标宋_GBK" w:cs="方正小标宋_GBK"/>
          <w:b/>
          <w:color w:val="auto"/>
          <w:kern w:val="2"/>
          <w:sz w:val="48"/>
          <w:szCs w:val="48"/>
        </w:rPr>
      </w:pPr>
    </w:p>
    <w:p w14:paraId="69243294">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4F31A188">
      <w:pPr>
        <w:pStyle w:val="11"/>
        <w:ind w:firstLine="961"/>
        <w:rPr>
          <w:rFonts w:ascii="方正小标宋_GBK" w:hAnsi="方正小标宋_GBK" w:eastAsia="方正小标宋_GBK" w:cs="方正小标宋_GBK"/>
          <w:b/>
          <w:color w:val="auto"/>
          <w:kern w:val="2"/>
          <w:sz w:val="48"/>
          <w:szCs w:val="48"/>
        </w:rPr>
      </w:pPr>
    </w:p>
    <w:p w14:paraId="5433FCE8">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6E7FF713">
      <w:pPr>
        <w:pStyle w:val="8"/>
        <w:spacing w:line="480" w:lineRule="exact"/>
        <w:ind w:left="0" w:leftChars="0"/>
        <w:jc w:val="center"/>
        <w:rPr>
          <w:rFonts w:ascii="华文中宋" w:hAnsi="华文中宋" w:eastAsia="华文中宋"/>
          <w:b/>
          <w:sz w:val="52"/>
          <w:szCs w:val="52"/>
        </w:rPr>
      </w:pPr>
    </w:p>
    <w:p w14:paraId="45452AB0">
      <w:pPr>
        <w:pStyle w:val="8"/>
        <w:adjustRightInd w:val="0"/>
        <w:snapToGrid w:val="0"/>
        <w:spacing w:before="156" w:beforeLines="50" w:line="480" w:lineRule="exact"/>
        <w:ind w:left="0" w:leftChars="0"/>
        <w:rPr>
          <w:rFonts w:ascii="宋体" w:hAnsi="宋体" w:cs="宋体"/>
          <w:b/>
          <w:sz w:val="40"/>
          <w:szCs w:val="32"/>
        </w:rPr>
      </w:pPr>
    </w:p>
    <w:p w14:paraId="5D2BB140">
      <w:pPr>
        <w:pStyle w:val="8"/>
        <w:adjustRightInd w:val="0"/>
        <w:snapToGrid w:val="0"/>
        <w:spacing w:before="156" w:beforeLines="50" w:line="480" w:lineRule="exact"/>
        <w:jc w:val="center"/>
        <w:rPr>
          <w:rFonts w:ascii="方正小标宋_GBK" w:hAnsi="方正小标宋_GBK" w:eastAsia="方正小标宋_GBK" w:cs="方正小标宋_GBK"/>
          <w:bCs/>
          <w:sz w:val="40"/>
          <w:szCs w:val="32"/>
          <w:u w:val="single"/>
        </w:rPr>
      </w:pPr>
    </w:p>
    <w:p w14:paraId="0B368947">
      <w:pPr>
        <w:pStyle w:val="8"/>
        <w:adjustRightInd w:val="0"/>
        <w:snapToGrid w:val="0"/>
        <w:spacing w:before="156" w:beforeLines="50" w:line="480" w:lineRule="exact"/>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u w:val="single"/>
        </w:rPr>
        <w:t>衡阳市发展投资集团有限公司</w:t>
      </w:r>
    </w:p>
    <w:p w14:paraId="24EF9798">
      <w:pPr>
        <w:pStyle w:val="8"/>
        <w:adjustRightInd w:val="0"/>
        <w:snapToGrid w:val="0"/>
        <w:spacing w:line="480" w:lineRule="exact"/>
        <w:ind w:left="0" w:leftChars="0"/>
        <w:rPr>
          <w:rFonts w:ascii="方正小标宋_GBK" w:hAnsi="方正小标宋_GBK" w:eastAsia="方正小标宋_GBK" w:cs="方正小标宋_GBK"/>
          <w:bCs/>
          <w:sz w:val="40"/>
          <w:szCs w:val="32"/>
        </w:rPr>
      </w:pPr>
    </w:p>
    <w:p w14:paraId="02AB1555">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headerReference r:id="rId4" w:type="even"/>
          <w:footerReference r:id="rId6" w:type="even"/>
          <w:pgSz w:w="11906" w:h="16838"/>
          <w:pgMar w:top="1440" w:right="1800" w:bottom="1440" w:left="1800" w:header="851" w:footer="992" w:gutter="0"/>
          <w:pgNumType w:fmt="decimal" w:start="1"/>
          <w:cols w:space="720" w:num="1"/>
          <w:titlePg/>
          <w:docGrid w:type="lines" w:linePitch="312" w:charSpace="0"/>
        </w:sectPr>
      </w:pPr>
      <w:r>
        <w:rPr>
          <w:rFonts w:hint="eastAsia" w:ascii="方正小标宋_GBK" w:hAnsi="方正小标宋_GBK" w:eastAsia="方正小标宋_GBK" w:cs="方正小标宋_GBK"/>
          <w:bCs/>
          <w:sz w:val="40"/>
          <w:szCs w:val="32"/>
        </w:rPr>
        <w:t>二〇二四年十二月</w:t>
      </w:r>
    </w:p>
    <w:p w14:paraId="53DE4E1B">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3AC33E14">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64717FFB">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5</w:t>
      </w:r>
    </w:p>
    <w:p w14:paraId="423FAF20">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10</w:t>
      </w:r>
    </w:p>
    <w:p w14:paraId="06D35710">
      <w:pPr>
        <w:tabs>
          <w:tab w:val="left" w:leader="middleDot" w:pos="0"/>
          <w:tab w:val="right" w:leader="dot" w:pos="8820"/>
        </w:tabs>
        <w:adjustRightInd w:val="0"/>
        <w:snapToGrid w:val="0"/>
        <w:spacing w:line="480" w:lineRule="exact"/>
        <w:jc w:val="center"/>
        <w:rPr>
          <w:rFonts w:hint="default" w:ascii="宋体" w:hAnsi="宋体" w:eastAsia="宋体"/>
          <w:b/>
          <w:bCs/>
          <w:spacing w:val="10"/>
          <w:sz w:val="24"/>
          <w:lang w:val="en-US" w:eastAsia="zh-CN"/>
        </w:rPr>
      </w:pPr>
      <w:r>
        <w:rPr>
          <w:rFonts w:hint="eastAsia" w:ascii="宋体" w:hAnsi="宋体"/>
          <w:b/>
          <w:bCs/>
          <w:sz w:val="24"/>
        </w:rPr>
        <w:t>第四章  评标办法（综合评分法）</w:t>
      </w:r>
      <w:r>
        <w:rPr>
          <w:rFonts w:hint="eastAsia" w:ascii="宋体" w:hAnsi="宋体"/>
          <w:spacing w:val="10"/>
          <w:sz w:val="24"/>
        </w:rPr>
        <w:tab/>
      </w:r>
      <w:r>
        <w:rPr>
          <w:rFonts w:hint="eastAsia" w:ascii="宋体" w:hAnsi="宋体"/>
          <w:b/>
          <w:bCs/>
          <w:spacing w:val="10"/>
          <w:sz w:val="24"/>
          <w:lang w:val="en-US" w:eastAsia="zh-CN"/>
        </w:rPr>
        <w:t>21</w:t>
      </w:r>
    </w:p>
    <w:p w14:paraId="3720A21E">
      <w:pPr>
        <w:tabs>
          <w:tab w:val="left" w:leader="middleDot" w:pos="0"/>
          <w:tab w:val="right" w:leader="dot" w:pos="8820"/>
        </w:tabs>
        <w:adjustRightInd w:val="0"/>
        <w:snapToGrid w:val="0"/>
        <w:spacing w:line="480" w:lineRule="exact"/>
        <w:jc w:val="center"/>
        <w:rPr>
          <w:rFonts w:hint="default" w:ascii="宋体" w:hAnsi="宋体" w:eastAsia="宋体"/>
          <w:b/>
          <w:bCs/>
          <w:spacing w:val="10"/>
          <w:sz w:val="24"/>
          <w:lang w:val="en-US" w:eastAsia="zh-CN"/>
        </w:rPr>
      </w:pPr>
      <w:r>
        <w:rPr>
          <w:rFonts w:hint="eastAsia" w:ascii="宋体" w:hAnsi="宋体"/>
          <w:b/>
          <w:bCs/>
          <w:sz w:val="24"/>
        </w:rPr>
        <w:t>第五章  采购内容和要求</w:t>
      </w:r>
      <w:r>
        <w:rPr>
          <w:rFonts w:hint="eastAsia" w:ascii="宋体" w:hAnsi="宋体"/>
          <w:spacing w:val="10"/>
          <w:sz w:val="24"/>
        </w:rPr>
        <w:tab/>
      </w:r>
      <w:r>
        <w:rPr>
          <w:rFonts w:hint="eastAsia" w:ascii="宋体" w:hAnsi="宋体"/>
          <w:b/>
          <w:bCs/>
          <w:spacing w:val="10"/>
          <w:sz w:val="24"/>
          <w:lang w:val="en-US" w:eastAsia="zh-CN"/>
        </w:rPr>
        <w:t>25</w:t>
      </w:r>
    </w:p>
    <w:p w14:paraId="66F815A0">
      <w:pPr>
        <w:tabs>
          <w:tab w:val="left" w:leader="middleDot" w:pos="0"/>
          <w:tab w:val="right" w:leader="dot" w:pos="8820"/>
        </w:tabs>
        <w:adjustRightInd w:val="0"/>
        <w:snapToGrid w:val="0"/>
        <w:spacing w:line="480" w:lineRule="exact"/>
        <w:jc w:val="center"/>
        <w:rPr>
          <w:rFonts w:ascii="宋体" w:hAnsi="宋体"/>
          <w:b/>
          <w:bCs/>
          <w:spacing w:val="10"/>
          <w:sz w:val="24"/>
        </w:rPr>
      </w:pPr>
    </w:p>
    <w:p w14:paraId="72903F0D">
      <w:pPr>
        <w:tabs>
          <w:tab w:val="left" w:leader="middleDot" w:pos="0"/>
          <w:tab w:val="right" w:leader="dot" w:pos="8820"/>
        </w:tabs>
        <w:adjustRightInd w:val="0"/>
        <w:snapToGrid w:val="0"/>
        <w:spacing w:line="480" w:lineRule="exact"/>
        <w:jc w:val="center"/>
        <w:rPr>
          <w:rFonts w:ascii="宋体" w:hAnsi="宋体"/>
          <w:b/>
          <w:bCs/>
          <w:spacing w:val="10"/>
          <w:sz w:val="24"/>
        </w:rPr>
      </w:pPr>
    </w:p>
    <w:p w14:paraId="1474A41D">
      <w:pPr>
        <w:pStyle w:val="15"/>
        <w:spacing w:line="480" w:lineRule="exact"/>
        <w:rPr>
          <w:rFonts w:ascii="宋体" w:hAnsi="宋体"/>
          <w:b/>
          <w:bCs/>
          <w:kern w:val="0"/>
          <w:sz w:val="28"/>
          <w:szCs w:val="28"/>
        </w:rPr>
      </w:pPr>
    </w:p>
    <w:p w14:paraId="51886D77">
      <w:pPr>
        <w:spacing w:line="480" w:lineRule="exact"/>
        <w:rPr>
          <w:rFonts w:ascii="宋体" w:hAnsi="宋体"/>
          <w:b/>
          <w:bCs/>
          <w:kern w:val="0"/>
          <w:sz w:val="28"/>
          <w:szCs w:val="28"/>
        </w:rPr>
      </w:pPr>
    </w:p>
    <w:p w14:paraId="295BEA39">
      <w:pPr>
        <w:pStyle w:val="7"/>
        <w:spacing w:line="480" w:lineRule="exact"/>
        <w:rPr>
          <w:rFonts w:ascii="宋体" w:hAnsi="宋体"/>
          <w:b/>
          <w:bCs/>
          <w:kern w:val="0"/>
          <w:sz w:val="28"/>
          <w:szCs w:val="28"/>
        </w:rPr>
      </w:pPr>
    </w:p>
    <w:p w14:paraId="0E8E60AB">
      <w:pPr>
        <w:pStyle w:val="15"/>
        <w:spacing w:line="480" w:lineRule="exact"/>
        <w:rPr>
          <w:rFonts w:ascii="宋体" w:hAnsi="宋体"/>
          <w:b/>
          <w:bCs/>
          <w:kern w:val="0"/>
          <w:sz w:val="28"/>
          <w:szCs w:val="28"/>
        </w:rPr>
      </w:pPr>
    </w:p>
    <w:p w14:paraId="39AA56B6">
      <w:pPr>
        <w:spacing w:line="480" w:lineRule="exact"/>
        <w:rPr>
          <w:rFonts w:ascii="宋体" w:hAnsi="宋体"/>
          <w:b/>
          <w:bCs/>
          <w:kern w:val="0"/>
          <w:sz w:val="28"/>
          <w:szCs w:val="28"/>
        </w:rPr>
      </w:pPr>
    </w:p>
    <w:p w14:paraId="01CC4E24">
      <w:pPr>
        <w:pStyle w:val="7"/>
        <w:spacing w:line="480" w:lineRule="exact"/>
        <w:rPr>
          <w:rFonts w:ascii="宋体" w:hAnsi="宋体"/>
          <w:b/>
          <w:bCs/>
          <w:kern w:val="0"/>
          <w:sz w:val="28"/>
          <w:szCs w:val="28"/>
        </w:rPr>
      </w:pPr>
    </w:p>
    <w:p w14:paraId="20F1CAA8">
      <w:pPr>
        <w:pStyle w:val="15"/>
        <w:spacing w:line="480" w:lineRule="exact"/>
        <w:rPr>
          <w:rFonts w:ascii="宋体" w:hAnsi="宋体"/>
          <w:b/>
          <w:bCs/>
          <w:kern w:val="0"/>
          <w:sz w:val="28"/>
          <w:szCs w:val="28"/>
        </w:rPr>
      </w:pPr>
    </w:p>
    <w:p w14:paraId="5DF4C59F">
      <w:pPr>
        <w:spacing w:line="480" w:lineRule="exact"/>
        <w:rPr>
          <w:rFonts w:ascii="宋体" w:hAnsi="宋体"/>
          <w:b/>
          <w:bCs/>
          <w:kern w:val="0"/>
          <w:sz w:val="28"/>
          <w:szCs w:val="28"/>
        </w:rPr>
      </w:pPr>
    </w:p>
    <w:p w14:paraId="26E0906C">
      <w:pPr>
        <w:pStyle w:val="7"/>
        <w:spacing w:line="480" w:lineRule="exact"/>
        <w:rPr>
          <w:rFonts w:ascii="宋体" w:hAnsi="宋体"/>
          <w:b/>
          <w:bCs/>
          <w:kern w:val="0"/>
          <w:sz w:val="28"/>
          <w:szCs w:val="28"/>
        </w:rPr>
      </w:pPr>
    </w:p>
    <w:p w14:paraId="3840388D">
      <w:pPr>
        <w:pStyle w:val="15"/>
        <w:spacing w:line="480" w:lineRule="exact"/>
        <w:rPr>
          <w:rFonts w:ascii="宋体" w:hAnsi="宋体"/>
          <w:b/>
          <w:bCs/>
          <w:kern w:val="0"/>
          <w:sz w:val="28"/>
          <w:szCs w:val="28"/>
        </w:rPr>
      </w:pPr>
    </w:p>
    <w:p w14:paraId="4D309B62">
      <w:pPr>
        <w:spacing w:line="480" w:lineRule="exact"/>
        <w:rPr>
          <w:rFonts w:ascii="宋体" w:hAnsi="宋体"/>
          <w:b/>
          <w:bCs/>
          <w:kern w:val="0"/>
          <w:sz w:val="28"/>
          <w:szCs w:val="28"/>
        </w:rPr>
      </w:pPr>
    </w:p>
    <w:p w14:paraId="2530E142">
      <w:pPr>
        <w:pStyle w:val="7"/>
        <w:spacing w:line="480" w:lineRule="exact"/>
        <w:rPr>
          <w:rFonts w:ascii="宋体" w:hAnsi="宋体"/>
          <w:b/>
          <w:bCs/>
          <w:kern w:val="0"/>
          <w:sz w:val="28"/>
          <w:szCs w:val="28"/>
        </w:rPr>
      </w:pPr>
    </w:p>
    <w:p w14:paraId="039C3FC4">
      <w:pPr>
        <w:spacing w:line="480" w:lineRule="exact"/>
      </w:pPr>
    </w:p>
    <w:p w14:paraId="0E0DC70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2FCAB4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B2AAE8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6F4F0A0">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6FCA0A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51D4B9C">
      <w:pPr>
        <w:adjustRightInd w:val="0"/>
        <w:snapToGrid w:val="0"/>
        <w:spacing w:line="560" w:lineRule="exact"/>
        <w:jc w:val="both"/>
        <w:rPr>
          <w:rFonts w:hint="eastAsia" w:ascii="Calibri" w:hAnsi="Calibri" w:eastAsia="Arial Unicode MS"/>
          <w:bCs/>
          <w:kern w:val="44"/>
          <w:sz w:val="44"/>
          <w:szCs w:val="44"/>
        </w:rPr>
      </w:pPr>
    </w:p>
    <w:p w14:paraId="75E36416">
      <w:pPr>
        <w:adjustRightInd w:val="0"/>
        <w:snapToGrid w:val="0"/>
        <w:spacing w:line="560" w:lineRule="exact"/>
        <w:jc w:val="center"/>
        <w:rPr>
          <w:rFonts w:hint="eastAsia" w:ascii="Calibri" w:hAnsi="Calibri" w:eastAsia="Arial Unicode MS"/>
          <w:bCs/>
          <w:kern w:val="44"/>
          <w:sz w:val="44"/>
          <w:szCs w:val="44"/>
        </w:rPr>
        <w:sectPr>
          <w:headerReference r:id="rId7" w:type="default"/>
          <w:footerReference r:id="rId8" w:type="default"/>
          <w:pgSz w:w="11906" w:h="16838"/>
          <w:pgMar w:top="1440" w:right="1800" w:bottom="1440" w:left="1800" w:header="851" w:footer="992" w:gutter="0"/>
          <w:pgNumType w:fmt="decimal" w:start="1"/>
          <w:cols w:space="425" w:num="1"/>
          <w:docGrid w:type="lines" w:linePitch="312" w:charSpace="0"/>
        </w:sectPr>
      </w:pPr>
    </w:p>
    <w:p w14:paraId="44ACB26F">
      <w:pPr>
        <w:adjustRightInd w:val="0"/>
        <w:snapToGrid w:val="0"/>
        <w:spacing w:line="560" w:lineRule="exact"/>
        <w:jc w:val="center"/>
        <w:rPr>
          <w:rStyle w:val="21"/>
          <w:rFonts w:ascii="黑体" w:hAnsi="黑体" w:eastAsia="黑体" w:cs="黑体"/>
          <w:sz w:val="32"/>
          <w:szCs w:val="32"/>
          <w:shd w:val="clear" w:color="auto" w:fill="FFFFFF"/>
        </w:rPr>
      </w:pPr>
      <w:r>
        <w:rPr>
          <w:rFonts w:hint="eastAsia" w:ascii="Calibri" w:hAnsi="Calibri" w:eastAsia="Arial Unicode MS"/>
          <w:bCs/>
          <w:kern w:val="44"/>
          <w:sz w:val="44"/>
          <w:szCs w:val="44"/>
        </w:rPr>
        <w:t>第一章  比选公告</w:t>
      </w:r>
    </w:p>
    <w:p w14:paraId="6A40DC05">
      <w:pPr>
        <w:adjustRightInd w:val="0"/>
        <w:snapToGrid w:val="0"/>
        <w:spacing w:line="560" w:lineRule="exact"/>
        <w:jc w:val="left"/>
        <w:rPr>
          <w:rStyle w:val="21"/>
          <w:rFonts w:ascii="黑体" w:hAnsi="黑体" w:eastAsia="黑体" w:cs="黑体"/>
          <w:sz w:val="32"/>
          <w:szCs w:val="32"/>
          <w:shd w:val="clear" w:color="auto" w:fill="FFFFFF"/>
        </w:rPr>
      </w:pPr>
    </w:p>
    <w:p w14:paraId="15752105">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一、项目概况与比选范围</w:t>
      </w:r>
    </w:p>
    <w:p w14:paraId="307F08B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1.项目名称：衡阳市发展投资集团有限公司职工食堂食材采购配送服务项目</w:t>
      </w:r>
    </w:p>
    <w:p w14:paraId="6CDBD19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2.项目地点：湖南省衡阳市高新技术产业开发区三江路15号</w:t>
      </w:r>
    </w:p>
    <w:p w14:paraId="37A7060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3.项目概况：为做好公司职工食堂管理，提高经费使用效益和伙食水平，确保食品安全，对职工食堂食材配送服务面向社会公开采购1家供应商。</w:t>
      </w:r>
    </w:p>
    <w:p w14:paraId="18CCD53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4.服务期限：本次配送服务期限为1年，合同一年一签，供货时间以合同签订时间为准。</w:t>
      </w:r>
    </w:p>
    <w:p w14:paraId="13C4EB3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5.比选范围：配送发展投食堂所需食材，包括并不限于以下品种：蔬菜、水果、鲜肉、冷冻食品、副食品、海鲜、调味品、粮油、米面、日用品等。</w:t>
      </w:r>
    </w:p>
    <w:p w14:paraId="0AA8665F">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604A698A">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550000</w:t>
      </w:r>
      <w:r>
        <w:rPr>
          <w:rFonts w:hint="eastAsia" w:ascii="仿宋" w:hAnsi="仿宋" w:eastAsia="仿宋" w:cs="仿宋"/>
          <w:sz w:val="28"/>
          <w:szCs w:val="28"/>
        </w:rPr>
        <w:t>元/年，具体金额以实际采购为准。</w:t>
      </w:r>
    </w:p>
    <w:p w14:paraId="66DBC485">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30FBF1E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679BF86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2.资质要求：参选单位须具备合法有效的《食品生产许可证》或《食品经营许可证》。</w:t>
      </w:r>
    </w:p>
    <w:p w14:paraId="3899A6F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344378A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9BBD1E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2022</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1</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2024</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11</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1</w:t>
      </w:r>
      <w:r>
        <w:rPr>
          <w:rFonts w:hint="eastAsia" w:ascii="仿宋" w:hAnsi="仿宋" w:eastAsia="仿宋" w:cs="仿宋"/>
          <w:sz w:val="28"/>
          <w:szCs w:val="28"/>
        </w:rPr>
        <w:t>个</w:t>
      </w:r>
      <w:r>
        <w:rPr>
          <w:rFonts w:hint="eastAsia" w:ascii="仿宋" w:hAnsi="仿宋" w:eastAsia="仿宋" w:cs="仿宋"/>
          <w:spacing w:val="15"/>
          <w:kern w:val="0"/>
          <w:sz w:val="28"/>
          <w:szCs w:val="28"/>
          <w:u w:val="single"/>
        </w:rPr>
        <w:t>食材采购配送</w:t>
      </w:r>
      <w:r>
        <w:rPr>
          <w:rFonts w:hint="eastAsia" w:ascii="仿宋" w:hAnsi="仿宋" w:eastAsia="仿宋" w:cs="仿宋"/>
          <w:spacing w:val="15"/>
          <w:kern w:val="0"/>
          <w:sz w:val="28"/>
          <w:szCs w:val="28"/>
        </w:rPr>
        <w:t>的单项合同金额不低于1</w:t>
      </w:r>
      <w:r>
        <w:rPr>
          <w:rFonts w:ascii="仿宋" w:hAnsi="仿宋" w:eastAsia="仿宋" w:cs="仿宋"/>
          <w:spacing w:val="15"/>
          <w:kern w:val="0"/>
          <w:sz w:val="28"/>
          <w:szCs w:val="28"/>
        </w:rPr>
        <w:t>5</w:t>
      </w:r>
      <w:r>
        <w:rPr>
          <w:rFonts w:hint="eastAsia" w:ascii="仿宋" w:hAnsi="仿宋" w:eastAsia="仿宋" w:cs="仿宋"/>
          <w:spacing w:val="15"/>
          <w:kern w:val="0"/>
          <w:sz w:val="28"/>
          <w:szCs w:val="28"/>
        </w:rPr>
        <w:t>万元的</w:t>
      </w:r>
      <w:r>
        <w:rPr>
          <w:rFonts w:hint="eastAsia" w:ascii="仿宋" w:hAnsi="仿宋" w:eastAsia="仿宋" w:cs="仿宋"/>
          <w:sz w:val="28"/>
          <w:szCs w:val="28"/>
        </w:rPr>
        <w:t>类似项目业绩。</w:t>
      </w:r>
    </w:p>
    <w:p w14:paraId="7488276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参选单位提供蔬菜、水果、鲜肉、冷冻食品、副食品、海鲜、调味品、粮油、米面、日用品等类似采购配送服务</w:t>
      </w:r>
      <w:r>
        <w:rPr>
          <w:rFonts w:hint="eastAsia" w:ascii="仿宋" w:hAnsi="仿宋" w:eastAsia="仿宋" w:cs="仿宋"/>
          <w:sz w:val="28"/>
          <w:szCs w:val="28"/>
        </w:rPr>
        <w:t>。</w:t>
      </w:r>
    </w:p>
    <w:p w14:paraId="450BB93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5555E45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4D17917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04354B6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6409B44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0059ACC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F3489E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7A1E99E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4E6A9D5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1F4F5932">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43F976B7">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11000</w:t>
      </w:r>
      <w:r>
        <w:rPr>
          <w:rFonts w:hint="eastAsia" w:ascii="仿宋" w:hAnsi="仿宋" w:eastAsia="仿宋" w:cs="仿宋"/>
          <w:sz w:val="28"/>
          <w:szCs w:val="28"/>
        </w:rPr>
        <w:t>元，采用保函形式（银行保函或担保公司保函）。</w:t>
      </w:r>
    </w:p>
    <w:p w14:paraId="3C96C3B5">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6491B15B">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凡有意参加比选的参选单位，请在衡阳国有资产投资控股有限公司官方网站（www.hxamc.com）上下载比选文件，并按照比选文件要求参与比选。</w:t>
      </w:r>
    </w:p>
    <w:p w14:paraId="47335C21">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330F699A">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本项目拟定于2024年</w:t>
      </w:r>
      <w:r>
        <w:rPr>
          <w:rFonts w:hint="eastAsia" w:ascii="仿宋" w:hAnsi="仿宋" w:eastAsia="仿宋" w:cs="仿宋"/>
          <w:sz w:val="28"/>
          <w:szCs w:val="28"/>
          <w:u w:val="single"/>
          <w:lang w:val="en-US" w:eastAsia="zh-CN"/>
        </w:rPr>
        <w:t>12</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27</w:t>
      </w:r>
      <w:r>
        <w:rPr>
          <w:rFonts w:hint="eastAsia" w:ascii="仿宋" w:hAnsi="仿宋" w:eastAsia="仿宋" w:cs="仿宋"/>
          <w:sz w:val="28"/>
          <w:szCs w:val="28"/>
        </w:rPr>
        <w:t>日</w:t>
      </w:r>
      <w:r>
        <w:rPr>
          <w:rFonts w:hint="eastAsia" w:ascii="仿宋" w:hAnsi="仿宋" w:eastAsia="仿宋" w:cs="仿宋"/>
          <w:sz w:val="28"/>
          <w:szCs w:val="28"/>
          <w:u w:val="single"/>
          <w:lang w:val="en-US" w:eastAsia="zh-CN"/>
        </w:rPr>
        <w:t>15</w:t>
      </w:r>
      <w:r>
        <w:rPr>
          <w:rFonts w:hint="eastAsia" w:ascii="仿宋" w:hAnsi="仿宋" w:eastAsia="仿宋" w:cs="仿宋"/>
          <w:sz w:val="28"/>
          <w:szCs w:val="28"/>
          <w:lang w:eastAsia="zh-CN"/>
        </w:rPr>
        <w:t>点</w:t>
      </w:r>
      <w:r>
        <w:rPr>
          <w:rFonts w:hint="eastAsia" w:ascii="仿宋" w:hAnsi="仿宋" w:eastAsia="仿宋" w:cs="仿宋"/>
          <w:sz w:val="28"/>
          <w:szCs w:val="28"/>
        </w:rPr>
        <w:t>在衡阳市国有资产投资控股集团有限公司4栋3楼评标室开标，如有变动将提前一天通知各参选单位。</w:t>
      </w:r>
    </w:p>
    <w:p w14:paraId="12B6AE57">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375BF718">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64281C76">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33FCA392">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0150B0F1">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本次比选公告在衡阳国有资产投资控股有限公司官方网站（www.hxamc.com）上发布。</w:t>
      </w:r>
    </w:p>
    <w:p w14:paraId="78C0E715">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27E4C9F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人：衡阳市发展投资集团有限公司</w:t>
      </w:r>
    </w:p>
    <w:p w14:paraId="00E85EB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址：湖南省衡阳市高新技术产业开发区三江路15号</w:t>
      </w:r>
    </w:p>
    <w:p w14:paraId="63D23CE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人：王女士</w:t>
      </w:r>
    </w:p>
    <w:p w14:paraId="1E8AA57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话：0734-8877025、0734-8828282</w:t>
      </w:r>
    </w:p>
    <w:p w14:paraId="17765A29">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035C53D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224C839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26568E0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47A447F3">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话：0734-8888393</w:t>
      </w:r>
    </w:p>
    <w:p w14:paraId="7503559C">
      <w:pPr>
        <w:adjustRightInd w:val="0"/>
        <w:snapToGrid w:val="0"/>
        <w:spacing w:line="560" w:lineRule="exact"/>
        <w:ind w:firstLine="560" w:firstLineChars="200"/>
        <w:jc w:val="left"/>
        <w:rPr>
          <w:rFonts w:hint="eastAsia" w:ascii="仿宋" w:hAnsi="仿宋" w:eastAsia="仿宋" w:cs="仿宋"/>
          <w:sz w:val="28"/>
          <w:szCs w:val="28"/>
        </w:rPr>
      </w:pPr>
    </w:p>
    <w:p w14:paraId="146140CF">
      <w:pPr>
        <w:adjustRightInd w:val="0"/>
        <w:snapToGrid w:val="0"/>
        <w:spacing w:line="560" w:lineRule="exact"/>
        <w:ind w:firstLine="560" w:firstLineChars="200"/>
        <w:jc w:val="left"/>
        <w:rPr>
          <w:rFonts w:hint="eastAsia" w:ascii="仿宋" w:hAnsi="仿宋" w:eastAsia="仿宋" w:cs="仿宋"/>
          <w:sz w:val="28"/>
          <w:szCs w:val="28"/>
        </w:rPr>
      </w:pPr>
    </w:p>
    <w:p w14:paraId="6B19D973">
      <w:pPr>
        <w:adjustRightInd w:val="0"/>
        <w:snapToGrid w:val="0"/>
        <w:spacing w:line="560" w:lineRule="exact"/>
        <w:ind w:firstLine="560" w:firstLineChars="200"/>
        <w:jc w:val="left"/>
        <w:rPr>
          <w:rFonts w:hint="eastAsia" w:ascii="仿宋" w:hAnsi="仿宋" w:eastAsia="仿宋" w:cs="仿宋"/>
          <w:sz w:val="28"/>
          <w:szCs w:val="28"/>
          <w:lang w:val="en-US" w:eastAsia="zh-CN"/>
        </w:rPr>
        <w:sectPr>
          <w:footerReference r:id="rId9" w:type="default"/>
          <w:pgSz w:w="11906" w:h="16838"/>
          <w:pgMar w:top="1440" w:right="1800" w:bottom="1440" w:left="1800" w:header="851" w:footer="992" w:gutter="0"/>
          <w:pgNumType w:fmt="decimal" w:start="1"/>
          <w:cols w:space="425" w:num="1"/>
          <w:docGrid w:type="lines" w:linePitch="312" w:charSpace="0"/>
        </w:sectPr>
      </w:pPr>
    </w:p>
    <w:p w14:paraId="107A1159">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Arial Unicode MS"/>
          <w:bCs/>
          <w:kern w:val="44"/>
          <w:sz w:val="44"/>
          <w:szCs w:val="44"/>
        </w:rPr>
        <w:t>第二章  参选人须知</w:t>
      </w:r>
    </w:p>
    <w:p w14:paraId="75195B23">
      <w:pPr>
        <w:adjustRightInd w:val="0"/>
        <w:snapToGrid w:val="0"/>
        <w:spacing w:line="560" w:lineRule="exact"/>
        <w:jc w:val="left"/>
        <w:rPr>
          <w:rFonts w:ascii="黑体" w:hAnsi="黑体" w:eastAsia="黑体" w:cs="黑体"/>
          <w:b/>
          <w:bCs/>
          <w:kern w:val="0"/>
          <w:sz w:val="32"/>
          <w:szCs w:val="32"/>
        </w:rPr>
      </w:pPr>
    </w:p>
    <w:p w14:paraId="05938400">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37113FAA">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02410DC8">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16C8505A">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3B9E0677">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1294B197">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3F09B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44C84EC8">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6CE0094E">
            <w:pPr>
              <w:widowControl/>
              <w:spacing w:line="480" w:lineRule="exact"/>
              <w:jc w:val="left"/>
              <w:rPr>
                <w:rFonts w:ascii="仿宋" w:hAnsi="仿宋" w:eastAsia="仿宋"/>
                <w:sz w:val="24"/>
              </w:rPr>
            </w:pPr>
            <w:r>
              <w:rPr>
                <w:rFonts w:hint="eastAsia" w:ascii="仿宋" w:hAnsi="仿宋" w:eastAsia="仿宋"/>
                <w:sz w:val="24"/>
              </w:rPr>
              <w:t>业    主：衡阳市发展投资集团有限公司</w:t>
            </w:r>
          </w:p>
          <w:p w14:paraId="21F028E8">
            <w:pPr>
              <w:widowControl/>
              <w:spacing w:line="480" w:lineRule="exact"/>
              <w:jc w:val="left"/>
              <w:rPr>
                <w:rFonts w:ascii="仿宋" w:hAnsi="仿宋" w:eastAsia="仿宋"/>
                <w:sz w:val="24"/>
              </w:rPr>
            </w:pPr>
            <w:r>
              <w:rPr>
                <w:rFonts w:ascii="仿宋" w:hAnsi="仿宋" w:eastAsia="仿宋"/>
                <w:sz w:val="24"/>
              </w:rPr>
              <w:t>地</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w:t>
            </w:r>
            <w:r>
              <w:rPr>
                <w:rFonts w:hint="eastAsia" w:ascii="仿宋" w:hAnsi="仿宋" w:eastAsia="仿宋"/>
                <w:sz w:val="24"/>
              </w:rPr>
              <w:t>湖南省衡阳市高新技术产业开发区三江路15号</w:t>
            </w:r>
          </w:p>
          <w:p w14:paraId="5FCFBE31">
            <w:pPr>
              <w:widowControl/>
              <w:spacing w:line="480" w:lineRule="exact"/>
              <w:jc w:val="left"/>
              <w:rPr>
                <w:rFonts w:ascii="仿宋" w:hAnsi="仿宋" w:eastAsia="仿宋" w:cs="仿宋"/>
                <w:kern w:val="0"/>
                <w:sz w:val="24"/>
              </w:rPr>
            </w:pPr>
            <w:r>
              <w:rPr>
                <w:rFonts w:hint="eastAsia" w:ascii="仿宋" w:hAnsi="仿宋" w:eastAsia="仿宋" w:cs="仿宋"/>
                <w:kern w:val="0"/>
                <w:sz w:val="24"/>
              </w:rPr>
              <w:t>联 系 人：</w:t>
            </w:r>
            <w:r>
              <w:rPr>
                <w:rFonts w:ascii="仿宋" w:hAnsi="仿宋" w:eastAsia="仿宋"/>
                <w:sz w:val="24"/>
              </w:rPr>
              <w:t>王女士</w:t>
            </w:r>
          </w:p>
          <w:p w14:paraId="3D21F975">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w:t>
            </w:r>
            <w:r>
              <w:rPr>
                <w:rFonts w:ascii="仿宋" w:hAnsi="仿宋" w:eastAsia="仿宋"/>
                <w:sz w:val="24"/>
              </w:rPr>
              <w:t>0734-8877025、0734-8828282</w:t>
            </w:r>
          </w:p>
        </w:tc>
      </w:tr>
      <w:tr w14:paraId="4E29A205">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03C9CE7">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50BB81B8">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7584C7E7">
            <w:pPr>
              <w:widowControl/>
              <w:spacing w:line="480" w:lineRule="exact"/>
              <w:jc w:val="left"/>
              <w:rPr>
                <w:rFonts w:ascii="仿宋" w:hAnsi="仿宋" w:eastAsia="仿宋" w:cs="仿宋"/>
                <w:spacing w:val="15"/>
                <w:kern w:val="0"/>
                <w:sz w:val="24"/>
              </w:rPr>
            </w:pPr>
            <w:r>
              <w:rPr>
                <w:rFonts w:ascii="仿宋" w:hAnsi="仿宋" w:eastAsia="仿宋"/>
                <w:sz w:val="24"/>
              </w:rPr>
              <w:t>衡阳市发展投资集团有限公司职工食堂食材采购配送服务项目</w:t>
            </w:r>
          </w:p>
        </w:tc>
      </w:tr>
      <w:tr w14:paraId="46BC4512">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4A1E964">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21DE7038">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318B42A7">
            <w:pPr>
              <w:widowControl/>
              <w:spacing w:line="480" w:lineRule="exact"/>
              <w:jc w:val="left"/>
              <w:rPr>
                <w:rFonts w:ascii="仿宋" w:hAnsi="仿宋" w:eastAsia="仿宋" w:cs="仿宋"/>
                <w:sz w:val="24"/>
              </w:rPr>
            </w:pPr>
            <w:r>
              <w:rPr>
                <w:rFonts w:ascii="仿宋" w:hAnsi="仿宋" w:eastAsia="仿宋"/>
                <w:sz w:val="24"/>
              </w:rPr>
              <w:t>为做好公司职工食堂管理，提高经费使用效益和伙食水平，确保食品安全，对职工食堂食材配送服务面向社会公开采购1家供应商。</w:t>
            </w:r>
          </w:p>
        </w:tc>
      </w:tr>
      <w:tr w14:paraId="1FB1B74A">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09CCA9">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1907BC0B">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68F781B7">
            <w:pPr>
              <w:adjustRightInd w:val="0"/>
              <w:snapToGrid w:val="0"/>
              <w:spacing w:line="480" w:lineRule="exact"/>
              <w:jc w:val="left"/>
              <w:rPr>
                <w:rFonts w:ascii="仿宋" w:hAnsi="仿宋" w:eastAsia="仿宋" w:cs="仿宋"/>
                <w:sz w:val="24"/>
              </w:rPr>
            </w:pPr>
            <w:r>
              <w:rPr>
                <w:rFonts w:ascii="仿宋" w:hAnsi="仿宋" w:eastAsia="仿宋"/>
                <w:sz w:val="24"/>
              </w:rPr>
              <w:t>企业自筹</w:t>
            </w:r>
          </w:p>
        </w:tc>
      </w:tr>
      <w:tr w14:paraId="51D43985">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E4730FB">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2DE56C72">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1E4E150B">
            <w:pPr>
              <w:widowControl/>
              <w:spacing w:line="480" w:lineRule="exact"/>
              <w:jc w:val="left"/>
              <w:rPr>
                <w:rFonts w:ascii="仿宋" w:hAnsi="仿宋" w:eastAsia="仿宋" w:cs="仿宋"/>
                <w:sz w:val="24"/>
              </w:rPr>
            </w:pPr>
            <w:r>
              <w:rPr>
                <w:rFonts w:hint="eastAsia" w:ascii="仿宋" w:hAnsi="仿宋" w:eastAsia="仿宋" w:cs="仿宋"/>
                <w:kern w:val="0"/>
                <w:sz w:val="24"/>
              </w:rPr>
              <w:t>配送发展投食堂所需食材，包括并不限于以下品种：蔬菜、水果、鲜肉、冷冻食品、副食品、海鲜、调味品、粮油、米面、日用品等。</w:t>
            </w:r>
          </w:p>
        </w:tc>
      </w:tr>
      <w:tr w14:paraId="3D587252">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D845931">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523EBE3D">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444F1ADA">
            <w:pPr>
              <w:widowControl/>
              <w:spacing w:line="480" w:lineRule="exact"/>
              <w:jc w:val="left"/>
              <w:rPr>
                <w:rFonts w:ascii="仿宋" w:hAnsi="仿宋" w:eastAsia="仿宋" w:cs="仿宋"/>
                <w:sz w:val="24"/>
              </w:rPr>
            </w:pPr>
            <w:r>
              <w:rPr>
                <w:rFonts w:hint="eastAsia" w:ascii="仿宋" w:hAnsi="仿宋" w:eastAsia="仿宋" w:cs="仿宋"/>
                <w:kern w:val="0"/>
                <w:sz w:val="24"/>
              </w:rPr>
              <w:t>服务期限为一年</w:t>
            </w:r>
          </w:p>
        </w:tc>
      </w:tr>
      <w:tr w14:paraId="28AE221E">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F4E4A67">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5B56E25C">
            <w:pPr>
              <w:widowControl/>
              <w:spacing w:line="480" w:lineRule="exact"/>
              <w:jc w:val="center"/>
              <w:rPr>
                <w:rFonts w:ascii="仿宋" w:hAnsi="仿宋" w:eastAsia="仿宋" w:cs="仿宋"/>
                <w:sz w:val="24"/>
              </w:rPr>
            </w:pPr>
            <w:r>
              <w:rPr>
                <w:rFonts w:hint="eastAsia" w:ascii="仿宋" w:hAnsi="仿宋" w:eastAsia="仿宋" w:cs="仿宋"/>
                <w:sz w:val="24"/>
              </w:rPr>
              <w:t>支付方式</w:t>
            </w:r>
          </w:p>
        </w:tc>
        <w:tc>
          <w:tcPr>
            <w:tcW w:w="6887" w:type="dxa"/>
            <w:tcBorders>
              <w:top w:val="single" w:color="000000" w:sz="4" w:space="0"/>
              <w:left w:val="nil"/>
              <w:bottom w:val="single" w:color="000000" w:sz="4" w:space="0"/>
              <w:right w:val="single" w:color="000000" w:sz="4" w:space="0"/>
            </w:tcBorders>
            <w:vAlign w:val="center"/>
          </w:tcPr>
          <w:p w14:paraId="76F0DBCB">
            <w:pPr>
              <w:widowControl/>
              <w:spacing w:line="480" w:lineRule="exact"/>
              <w:jc w:val="left"/>
              <w:rPr>
                <w:rFonts w:ascii="仿宋" w:hAnsi="仿宋" w:eastAsia="仿宋" w:cs="仿宋"/>
                <w:kern w:val="0"/>
                <w:sz w:val="24"/>
              </w:rPr>
            </w:pPr>
            <w:r>
              <w:rPr>
                <w:rFonts w:hint="eastAsia" w:ascii="仿宋_GB2312" w:hAnsi="仿宋_GB2312" w:eastAsia="仿宋_GB2312" w:cs="仿宋_GB2312"/>
                <w:szCs w:val="21"/>
              </w:rPr>
              <w:t>1</w:t>
            </w:r>
            <w:r>
              <w:rPr>
                <w:rFonts w:hint="eastAsia" w:ascii="仿宋" w:hAnsi="仿宋" w:eastAsia="仿宋" w:cs="仿宋"/>
                <w:kern w:val="0"/>
                <w:sz w:val="24"/>
              </w:rPr>
              <w:t>.供应产品为优特级，价格湖南省农业农村厅发布政务信息公开《湖南主要农产品批发价格监测周报》每月初第一次发布价格为当月基准价。价格周报未包括的商品，由比选人随机抽派2-3人在市内香江百货、步步高超市、三泰市场等地点采集信息作为基准价，按月结算支付。</w:t>
            </w:r>
          </w:p>
          <w:p w14:paraId="0DC3A817">
            <w:pPr>
              <w:widowControl/>
              <w:spacing w:line="480" w:lineRule="exact"/>
              <w:jc w:val="left"/>
              <w:rPr>
                <w:rFonts w:ascii="仿宋" w:hAnsi="仿宋" w:eastAsia="仿宋" w:cs="仿宋"/>
                <w:kern w:val="0"/>
                <w:sz w:val="24"/>
              </w:rPr>
            </w:pPr>
            <w:r>
              <w:rPr>
                <w:rFonts w:hint="eastAsia" w:ascii="仿宋" w:hAnsi="仿宋" w:eastAsia="仿宋" w:cs="仿宋"/>
                <w:kern w:val="0"/>
                <w:sz w:val="24"/>
              </w:rPr>
              <w:t>2.该项目按月结算支付，结算金额是最终用户验收合格后的总价，包括但不限于货款、货物运输、保险、代理、培训、材料损耗和设备折旧成本、投入项目人员的工资、福利、社保等人工成本，税金及附加、销售费用、管理费用、财务费用等多种构成因素及与参选单位履约本项目所需要的其它一切费用。</w:t>
            </w:r>
          </w:p>
        </w:tc>
      </w:tr>
      <w:tr w14:paraId="605099EF">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90BC78">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vAlign w:val="center"/>
          </w:tcPr>
          <w:p w14:paraId="6F8D3A9B">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7DB286CE">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2D980A6C">
            <w:pPr>
              <w:adjustRightInd w:val="0"/>
              <w:snapToGrid w:val="0"/>
              <w:spacing w:line="560" w:lineRule="exact"/>
              <w:jc w:val="left"/>
              <w:rPr>
                <w:rFonts w:ascii="仿宋" w:hAnsi="仿宋" w:eastAsia="仿宋" w:cs="仿宋"/>
                <w:sz w:val="24"/>
              </w:rPr>
            </w:pPr>
            <w:r>
              <w:rPr>
                <w:rFonts w:ascii="仿宋" w:hAnsi="仿宋" w:eastAsia="仿宋" w:cs="仿宋"/>
                <w:sz w:val="24"/>
              </w:rPr>
              <w:t>2.资质要求：参选单位须具备合法有效的《食品生产许可证》或《食品经营许可证》。</w:t>
            </w:r>
          </w:p>
          <w:p w14:paraId="3E46770B">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14:paraId="6E8D2A85">
            <w:pPr>
              <w:adjustRightInd w:val="0"/>
              <w:snapToGrid w:val="0"/>
              <w:spacing w:line="560" w:lineRule="exact"/>
              <w:ind w:firstLine="480" w:firstLineChars="200"/>
              <w:jc w:val="left"/>
              <w:rPr>
                <w:rFonts w:ascii="仿宋" w:hAnsi="仿宋" w:eastAsia="仿宋" w:cs="仿宋"/>
                <w:sz w:val="24"/>
              </w:rPr>
            </w:pPr>
            <w:r>
              <w:rPr>
                <w:rFonts w:ascii="仿宋" w:hAnsi="仿宋" w:eastAsia="仿宋" w:cs="仿宋"/>
                <w:sz w:val="24"/>
              </w:rPr>
              <w:t>提供:近3年内（2022年1月至2024年11月）不少于1个</w:t>
            </w:r>
            <w:r>
              <w:rPr>
                <w:rFonts w:hint="eastAsia" w:ascii="仿宋" w:hAnsi="仿宋" w:eastAsia="仿宋" w:cs="仿宋"/>
                <w:sz w:val="24"/>
              </w:rPr>
              <w:t>单项合同金额不低于1</w:t>
            </w:r>
            <w:r>
              <w:rPr>
                <w:rFonts w:ascii="仿宋" w:hAnsi="仿宋" w:eastAsia="仿宋" w:cs="仿宋"/>
                <w:sz w:val="24"/>
              </w:rPr>
              <w:t>5</w:t>
            </w:r>
            <w:r>
              <w:rPr>
                <w:rFonts w:hint="eastAsia" w:ascii="仿宋" w:hAnsi="仿宋" w:eastAsia="仿宋" w:cs="仿宋"/>
                <w:sz w:val="24"/>
              </w:rPr>
              <w:t>万元</w:t>
            </w:r>
            <w:r>
              <w:rPr>
                <w:rFonts w:ascii="仿宋" w:hAnsi="仿宋" w:eastAsia="仿宋" w:cs="仿宋"/>
                <w:sz w:val="24"/>
              </w:rPr>
              <w:t>的食材采购配送的类似项目业绩。</w:t>
            </w:r>
          </w:p>
          <w:p w14:paraId="5612A5B4">
            <w:pPr>
              <w:adjustRightInd w:val="0"/>
              <w:snapToGrid w:val="0"/>
              <w:spacing w:line="560" w:lineRule="exact"/>
              <w:ind w:firstLine="480" w:firstLineChars="200"/>
              <w:jc w:val="left"/>
              <w:rPr>
                <w:rFonts w:ascii="仿宋" w:hAnsi="仿宋" w:eastAsia="仿宋" w:cs="仿宋"/>
                <w:sz w:val="24"/>
              </w:rPr>
            </w:pPr>
            <w:r>
              <w:rPr>
                <w:rFonts w:ascii="仿宋" w:hAnsi="仿宋" w:eastAsia="仿宋" w:cs="仿宋"/>
                <w:sz w:val="24"/>
              </w:rPr>
              <w:t>类似项目业绩是指:参选单位提供蔬菜、水果、鲜肉、冷冻食品、副食品、海鲜、调味品、粮油、米面、日用品等</w:t>
            </w:r>
            <w:r>
              <w:rPr>
                <w:rFonts w:hint="eastAsia" w:ascii="仿宋" w:hAnsi="仿宋" w:eastAsia="仿宋" w:cs="仿宋"/>
                <w:sz w:val="24"/>
              </w:rPr>
              <w:t>类似</w:t>
            </w:r>
            <w:r>
              <w:rPr>
                <w:rFonts w:ascii="仿宋" w:hAnsi="仿宋" w:eastAsia="仿宋" w:cs="仿宋"/>
                <w:sz w:val="24"/>
              </w:rPr>
              <w:t>采购配送服务。</w:t>
            </w:r>
          </w:p>
          <w:p w14:paraId="2D96B9B2">
            <w:pPr>
              <w:adjustRightInd w:val="0"/>
              <w:snapToGrid w:val="0"/>
              <w:spacing w:line="560" w:lineRule="exact"/>
              <w:jc w:val="left"/>
              <w:rPr>
                <w:rFonts w:ascii="仿宋" w:hAnsi="仿宋" w:eastAsia="仿宋" w:cs="仿宋"/>
                <w:sz w:val="24"/>
              </w:rPr>
            </w:pPr>
            <w:r>
              <w:rPr>
                <w:rFonts w:ascii="仿宋" w:hAnsi="仿宋" w:eastAsia="仿宋" w:cs="仿宋"/>
                <w:sz w:val="24"/>
              </w:rPr>
              <w:t>4.信誉要求：近三年内，在经营活动中无不良记录。</w:t>
            </w:r>
          </w:p>
          <w:p w14:paraId="5B428A77">
            <w:pPr>
              <w:adjustRightInd w:val="0"/>
              <w:snapToGrid w:val="0"/>
              <w:spacing w:line="560" w:lineRule="exact"/>
              <w:jc w:val="left"/>
              <w:rPr>
                <w:rFonts w:ascii="仿宋" w:hAnsi="仿宋" w:eastAsia="仿宋" w:cs="仿宋"/>
                <w:sz w:val="24"/>
              </w:rPr>
            </w:pPr>
            <w:r>
              <w:rPr>
                <w:rFonts w:hint="eastAsia" w:ascii="仿宋" w:hAnsi="仿宋" w:eastAsia="仿宋" w:cs="仿宋"/>
                <w:sz w:val="24"/>
              </w:rPr>
              <w:t>5</w:t>
            </w:r>
            <w:r>
              <w:rPr>
                <w:rFonts w:ascii="仿宋" w:hAnsi="仿宋" w:eastAsia="仿宋" w:cs="仿宋"/>
                <w:sz w:val="24"/>
              </w:rPr>
              <w:t>.关联要求：参选单位法定代表人为同一人或者存在直接控股、管理关系的不同参选人，不得同时参加本次比选。</w:t>
            </w:r>
          </w:p>
          <w:p w14:paraId="16D91B72">
            <w:pPr>
              <w:adjustRightInd w:val="0"/>
              <w:snapToGrid w:val="0"/>
              <w:spacing w:line="560" w:lineRule="exact"/>
              <w:jc w:val="left"/>
              <w:rPr>
                <w:rFonts w:ascii="仿宋" w:hAnsi="仿宋" w:eastAsia="仿宋" w:cs="仿宋"/>
                <w:sz w:val="24"/>
              </w:rPr>
            </w:pPr>
            <w:r>
              <w:rPr>
                <w:rFonts w:hint="eastAsia" w:ascii="仿宋" w:hAnsi="仿宋" w:eastAsia="仿宋" w:cs="仿宋"/>
                <w:sz w:val="24"/>
              </w:rPr>
              <w:t>6</w:t>
            </w:r>
            <w:r>
              <w:rPr>
                <w:rFonts w:ascii="仿宋" w:hAnsi="仿宋" w:eastAsia="仿宋" w:cs="仿宋"/>
                <w:sz w:val="24"/>
              </w:rPr>
              <w:t>.联合体要求：本次比选不接受联合体参加。</w:t>
            </w:r>
          </w:p>
        </w:tc>
      </w:tr>
      <w:tr w14:paraId="4F8D9B62">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9F6907">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tcPr>
          <w:p w14:paraId="6FB7DB44">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00E692F1">
            <w:pPr>
              <w:widowControl/>
              <w:spacing w:line="480" w:lineRule="exact"/>
              <w:rPr>
                <w:rFonts w:ascii="仿宋" w:hAnsi="仿宋" w:eastAsia="仿宋" w:cs="仿宋"/>
                <w:kern w:val="0"/>
                <w:sz w:val="24"/>
              </w:rPr>
            </w:pPr>
            <w:r>
              <w:rPr>
                <w:rFonts w:hint="eastAsia" w:ascii="仿宋" w:hAnsi="仿宋" w:eastAsia="仿宋" w:cs="仿宋"/>
                <w:kern w:val="0"/>
                <w:sz w:val="24"/>
              </w:rPr>
              <w:t>2024年</w:t>
            </w:r>
            <w:r>
              <w:rPr>
                <w:rFonts w:hint="eastAsia" w:ascii="仿宋" w:hAnsi="仿宋" w:eastAsia="仿宋" w:cs="仿宋"/>
                <w:sz w:val="24"/>
                <w:u w:val="single"/>
                <w:lang w:val="en-US" w:eastAsia="zh-CN"/>
              </w:rPr>
              <w:t>12</w:t>
            </w:r>
            <w:r>
              <w:rPr>
                <w:rFonts w:hint="eastAsia" w:ascii="仿宋" w:hAnsi="仿宋" w:eastAsia="仿宋" w:cs="仿宋"/>
                <w:kern w:val="0"/>
                <w:sz w:val="24"/>
              </w:rPr>
              <w:t>月</w:t>
            </w:r>
            <w:r>
              <w:rPr>
                <w:rFonts w:hint="eastAsia" w:ascii="仿宋" w:hAnsi="仿宋" w:eastAsia="仿宋" w:cs="仿宋"/>
                <w:sz w:val="24"/>
                <w:u w:val="single"/>
                <w:lang w:val="en-US" w:eastAsia="zh-CN"/>
              </w:rPr>
              <w:t>24</w:t>
            </w:r>
            <w:r>
              <w:rPr>
                <w:rFonts w:hint="eastAsia" w:ascii="仿宋" w:hAnsi="仿宋" w:eastAsia="仿宋" w:cs="仿宋"/>
                <w:kern w:val="0"/>
                <w:sz w:val="24"/>
              </w:rPr>
              <w:t>日下午17：00前（北京时间，节假日休息）</w:t>
            </w:r>
          </w:p>
        </w:tc>
      </w:tr>
      <w:tr w14:paraId="682D701D">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A2658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1F9E3ECB">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123DA6AE">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14:paraId="789155AD">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7377C7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36FAE025">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44808789">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1F99A5CE">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96D914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1F85C5CE">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4A195559">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73A1163D">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21129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078F4316">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36B2DB76">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7AD63CDD">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3BCDD69B">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AE6A3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16053DAA">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0487EBF1">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5C6EDCA6">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079F4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38DE4BCE">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50DB3764">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32CD67A4">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43C1F197">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11000</w:t>
            </w:r>
            <w:r>
              <w:rPr>
                <w:rFonts w:hint="eastAsia" w:ascii="仿宋" w:hAnsi="仿宋" w:eastAsia="仿宋" w:cs="仿宋"/>
                <w:kern w:val="0"/>
                <w:sz w:val="24"/>
              </w:rPr>
              <w:t>元。</w:t>
            </w:r>
          </w:p>
        </w:tc>
      </w:tr>
      <w:tr w14:paraId="3D497997">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DA225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7D9EDDAC">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7FF38E0A">
            <w:pPr>
              <w:widowControl/>
              <w:spacing w:line="480" w:lineRule="exact"/>
              <w:rPr>
                <w:rFonts w:ascii="仿宋" w:hAnsi="仿宋" w:eastAsia="仿宋" w:cs="仿宋"/>
                <w:kern w:val="0"/>
                <w:sz w:val="24"/>
              </w:rPr>
            </w:pPr>
            <w:r>
              <w:rPr>
                <w:rFonts w:hint="eastAsia" w:ascii="仿宋" w:hAnsi="仿宋" w:eastAsia="仿宋" w:cs="仿宋"/>
                <w:kern w:val="0"/>
                <w:sz w:val="24"/>
              </w:rPr>
              <w:t>本项目采用综合评分法</w:t>
            </w:r>
          </w:p>
        </w:tc>
      </w:tr>
      <w:tr w14:paraId="30890ADB">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42F521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12D27C24">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4AD5D25D">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686548FA">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550000</w:t>
            </w:r>
            <w:r>
              <w:rPr>
                <w:rFonts w:hint="eastAsia" w:ascii="仿宋" w:hAnsi="仿宋" w:eastAsia="仿宋" w:cs="仿宋"/>
                <w:kern w:val="0"/>
                <w:sz w:val="24"/>
              </w:rPr>
              <w:t xml:space="preserve">元。       </w:t>
            </w:r>
          </w:p>
        </w:tc>
      </w:tr>
      <w:tr w14:paraId="79C8DCD8">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85C6B3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3F557A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7E7231B2">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254A6839">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3092BD23">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73A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424BF2F">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006B892C">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r w14:paraId="138CC81D">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13CB1">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w:t>
            </w:r>
            <w:r>
              <w:rPr>
                <w:rFonts w:ascii="仿宋" w:hAnsi="仿宋" w:eastAsia="仿宋" w:cs="仿宋"/>
                <w:kern w:val="0"/>
                <w:sz w:val="24"/>
              </w:rPr>
              <w:t>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17F0F11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74D6CF2">
            <w:pPr>
              <w:widowControl/>
              <w:spacing w:line="480" w:lineRule="exact"/>
              <w:rPr>
                <w:rFonts w:hint="eastAsia" w:ascii="仿宋" w:hAnsi="仿宋" w:eastAsia="仿宋" w:cs="仿宋"/>
                <w:kern w:val="0"/>
                <w:sz w:val="24"/>
              </w:rPr>
            </w:pPr>
            <w:r>
              <w:rPr>
                <w:rFonts w:hint="eastAsia" w:ascii="仿宋" w:hAnsi="仿宋" w:eastAsia="仿宋" w:cs="仿宋"/>
                <w:kern w:val="0"/>
                <w:sz w:val="24"/>
              </w:rPr>
              <w:t>本项目不允许偏离，第五章 比选人的采购内容和要求需全部响应</w:t>
            </w:r>
          </w:p>
        </w:tc>
      </w:tr>
    </w:tbl>
    <w:p w14:paraId="028E3FBB">
      <w:pPr>
        <w:widowControl/>
        <w:spacing w:line="480" w:lineRule="exact"/>
        <w:jc w:val="left"/>
        <w:rPr>
          <w:rFonts w:ascii="黑体" w:hAnsi="黑体" w:eastAsia="黑体" w:cs="黑体"/>
          <w:b/>
          <w:spacing w:val="15"/>
          <w:kern w:val="0"/>
          <w:sz w:val="32"/>
          <w:szCs w:val="32"/>
        </w:rPr>
      </w:pPr>
    </w:p>
    <w:p w14:paraId="578176CE">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29631C3D">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7B07C0C1">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44D2538A">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1D044C6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62D7F11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1C0886A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前以书面形式递交至比选人。比选人对参选人的答疑，都将以官网发布答疑澄清公告的形式通知所有参选人，答疑澄清公告内容视为比选文件的组成部分。</w:t>
      </w:r>
    </w:p>
    <w:p w14:paraId="0F76920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2593EA21">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10825A1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14:paraId="2867DFE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177D917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14E8FAE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65F98C8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10869B1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29CE712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351E478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648CFBE3">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7D779828">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34989EB4">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254C38C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44F783F2">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515FAD9E">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3E0309DE">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66FAF433">
      <w:pPr>
        <w:widowControl/>
        <w:spacing w:line="480" w:lineRule="exact"/>
        <w:ind w:firstLine="643" w:firstLineChars="200"/>
        <w:rPr>
          <w:rFonts w:ascii="黑体" w:hAnsi="黑体" w:eastAsia="黑体" w:cs="黑体"/>
          <w:b/>
          <w:bCs/>
          <w:kern w:val="0"/>
          <w:sz w:val="32"/>
          <w:szCs w:val="32"/>
        </w:rPr>
      </w:pPr>
    </w:p>
    <w:p w14:paraId="269A8358">
      <w:pPr>
        <w:widowControl/>
        <w:spacing w:line="480" w:lineRule="exact"/>
        <w:ind w:firstLine="643" w:firstLineChars="200"/>
        <w:rPr>
          <w:rFonts w:ascii="黑体" w:hAnsi="黑体" w:eastAsia="黑体" w:cs="黑体"/>
          <w:b/>
          <w:bCs/>
          <w:kern w:val="0"/>
          <w:sz w:val="32"/>
          <w:szCs w:val="32"/>
        </w:rPr>
      </w:pPr>
    </w:p>
    <w:p w14:paraId="5659F3AA">
      <w:pPr>
        <w:widowControl/>
        <w:spacing w:line="480" w:lineRule="exact"/>
        <w:ind w:firstLine="643" w:firstLineChars="200"/>
        <w:rPr>
          <w:rFonts w:ascii="黑体" w:hAnsi="黑体" w:eastAsia="黑体" w:cs="黑体"/>
          <w:b/>
          <w:bCs/>
          <w:kern w:val="0"/>
          <w:sz w:val="32"/>
          <w:szCs w:val="32"/>
        </w:rPr>
      </w:pPr>
    </w:p>
    <w:p w14:paraId="1D3285BE">
      <w:pPr>
        <w:widowControl/>
        <w:spacing w:line="480" w:lineRule="exact"/>
        <w:ind w:firstLine="643" w:firstLineChars="200"/>
        <w:rPr>
          <w:rFonts w:ascii="黑体" w:hAnsi="黑体" w:eastAsia="黑体" w:cs="黑体"/>
          <w:b/>
          <w:bCs/>
          <w:kern w:val="0"/>
          <w:sz w:val="32"/>
          <w:szCs w:val="32"/>
        </w:rPr>
      </w:pPr>
    </w:p>
    <w:p w14:paraId="16E5014A">
      <w:pPr>
        <w:widowControl/>
        <w:spacing w:line="480" w:lineRule="exact"/>
        <w:ind w:firstLine="643" w:firstLineChars="200"/>
        <w:rPr>
          <w:rFonts w:ascii="黑体" w:hAnsi="黑体" w:eastAsia="黑体" w:cs="黑体"/>
          <w:b/>
          <w:bCs/>
          <w:kern w:val="0"/>
          <w:sz w:val="32"/>
          <w:szCs w:val="32"/>
        </w:rPr>
      </w:pPr>
    </w:p>
    <w:p w14:paraId="3DF50790">
      <w:pPr>
        <w:widowControl/>
        <w:spacing w:line="480" w:lineRule="exact"/>
        <w:ind w:firstLine="643" w:firstLineChars="200"/>
        <w:rPr>
          <w:rFonts w:ascii="黑体" w:hAnsi="黑体" w:eastAsia="黑体" w:cs="黑体"/>
          <w:b/>
          <w:bCs/>
          <w:kern w:val="0"/>
          <w:sz w:val="32"/>
          <w:szCs w:val="32"/>
        </w:rPr>
      </w:pPr>
    </w:p>
    <w:p w14:paraId="1F26CF43">
      <w:pPr>
        <w:widowControl/>
        <w:spacing w:line="480" w:lineRule="exact"/>
        <w:ind w:firstLine="643" w:firstLineChars="200"/>
        <w:rPr>
          <w:rFonts w:ascii="黑体" w:hAnsi="黑体" w:eastAsia="黑体" w:cs="黑体"/>
          <w:b/>
          <w:bCs/>
          <w:kern w:val="0"/>
          <w:sz w:val="32"/>
          <w:szCs w:val="32"/>
        </w:rPr>
      </w:pPr>
    </w:p>
    <w:p w14:paraId="6A8A5461">
      <w:pPr>
        <w:widowControl/>
        <w:spacing w:line="480" w:lineRule="exact"/>
        <w:ind w:firstLine="643" w:firstLineChars="200"/>
        <w:rPr>
          <w:rFonts w:ascii="黑体" w:hAnsi="黑体" w:eastAsia="黑体" w:cs="黑体"/>
          <w:b/>
          <w:bCs/>
          <w:kern w:val="0"/>
          <w:sz w:val="32"/>
          <w:szCs w:val="32"/>
        </w:rPr>
      </w:pPr>
    </w:p>
    <w:p w14:paraId="557A65CE">
      <w:pPr>
        <w:widowControl/>
        <w:spacing w:line="480" w:lineRule="exact"/>
        <w:rPr>
          <w:rFonts w:ascii="黑体" w:hAnsi="黑体" w:eastAsia="黑体" w:cs="黑体"/>
          <w:b/>
          <w:bCs/>
          <w:kern w:val="0"/>
          <w:sz w:val="32"/>
          <w:szCs w:val="32"/>
        </w:rPr>
      </w:pPr>
    </w:p>
    <w:p w14:paraId="3E10E330">
      <w:pPr>
        <w:widowControl/>
        <w:spacing w:line="480" w:lineRule="exact"/>
        <w:ind w:firstLine="643" w:firstLineChars="200"/>
        <w:rPr>
          <w:rFonts w:ascii="黑体" w:hAnsi="黑体" w:eastAsia="黑体" w:cs="黑体"/>
          <w:b/>
          <w:bCs/>
          <w:kern w:val="0"/>
          <w:sz w:val="32"/>
          <w:szCs w:val="32"/>
        </w:rPr>
      </w:pPr>
    </w:p>
    <w:p w14:paraId="5FD0A27A">
      <w:pPr>
        <w:widowControl/>
        <w:spacing w:line="480" w:lineRule="exact"/>
        <w:ind w:firstLine="643" w:firstLineChars="200"/>
        <w:rPr>
          <w:rFonts w:ascii="黑体" w:hAnsi="黑体" w:eastAsia="黑体" w:cs="黑体"/>
          <w:b/>
          <w:bCs/>
          <w:kern w:val="0"/>
          <w:sz w:val="32"/>
          <w:szCs w:val="32"/>
        </w:rPr>
      </w:pPr>
    </w:p>
    <w:p w14:paraId="74F656D5">
      <w:pPr>
        <w:widowControl/>
        <w:spacing w:line="480" w:lineRule="exact"/>
        <w:ind w:firstLine="643" w:firstLineChars="200"/>
        <w:rPr>
          <w:rFonts w:ascii="黑体" w:hAnsi="黑体" w:eastAsia="黑体" w:cs="黑体"/>
          <w:b/>
          <w:bCs/>
          <w:kern w:val="0"/>
          <w:sz w:val="32"/>
          <w:szCs w:val="32"/>
        </w:rPr>
      </w:pPr>
    </w:p>
    <w:p w14:paraId="50AD84C4">
      <w:pPr>
        <w:widowControl/>
        <w:spacing w:line="480" w:lineRule="exact"/>
        <w:ind w:firstLine="643" w:firstLineChars="200"/>
        <w:rPr>
          <w:rFonts w:ascii="黑体" w:hAnsi="黑体" w:eastAsia="黑体" w:cs="黑体"/>
          <w:b/>
          <w:bCs/>
          <w:kern w:val="0"/>
          <w:sz w:val="32"/>
          <w:szCs w:val="32"/>
        </w:rPr>
        <w:sectPr>
          <w:pgSz w:w="11906" w:h="16838"/>
          <w:pgMar w:top="1440" w:right="1800" w:bottom="1440" w:left="1800" w:header="851" w:footer="992" w:gutter="0"/>
          <w:pgNumType w:fmt="decimal"/>
          <w:cols w:space="425" w:num="1"/>
          <w:docGrid w:type="lines" w:linePitch="312" w:charSpace="0"/>
        </w:sectPr>
      </w:pPr>
    </w:p>
    <w:p w14:paraId="2E93E319">
      <w:pPr>
        <w:adjustRightInd w:val="0"/>
        <w:snapToGrid w:val="0"/>
        <w:spacing w:line="560" w:lineRule="exact"/>
        <w:jc w:val="center"/>
        <w:rPr>
          <w:rFonts w:ascii="Calibri" w:hAnsi="Calibri" w:eastAsia="Arial Unicode MS"/>
          <w:bCs/>
          <w:kern w:val="44"/>
          <w:sz w:val="44"/>
          <w:szCs w:val="44"/>
        </w:rPr>
      </w:pPr>
      <w:r>
        <w:rPr>
          <w:rFonts w:hint="eastAsia" w:ascii="Calibri" w:hAnsi="Calibri" w:eastAsia="Arial Unicode MS"/>
          <w:bCs/>
          <w:kern w:val="44"/>
          <w:sz w:val="44"/>
          <w:szCs w:val="44"/>
        </w:rPr>
        <w:t>第三章 参选文件要求</w:t>
      </w:r>
    </w:p>
    <w:p w14:paraId="12C20634">
      <w:pPr>
        <w:widowControl/>
        <w:spacing w:line="480" w:lineRule="exact"/>
        <w:rPr>
          <w:rFonts w:ascii="仿宋" w:hAnsi="仿宋" w:eastAsia="仿宋"/>
          <w:spacing w:val="15"/>
          <w:kern w:val="0"/>
          <w:sz w:val="28"/>
          <w:szCs w:val="28"/>
        </w:rPr>
      </w:pPr>
    </w:p>
    <w:p w14:paraId="7EBE36AF">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59AB3F5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1.封面（按附件1格式）</w:t>
      </w:r>
    </w:p>
    <w:p w14:paraId="5FC2B05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2.目录（按附件2格式）</w:t>
      </w:r>
    </w:p>
    <w:p w14:paraId="562B4C2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3.比选函（按附件3格式）</w:t>
      </w:r>
    </w:p>
    <w:p w14:paraId="39ACDA5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4.承诺函（按附件4格式）</w:t>
      </w:r>
    </w:p>
    <w:p w14:paraId="395EB30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5.法定代表人身份证明（按附件5格式）</w:t>
      </w:r>
    </w:p>
    <w:p w14:paraId="56BDAB9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6.法定代表人授权委托书（按附件6格式）</w:t>
      </w:r>
    </w:p>
    <w:p w14:paraId="6B28BE3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7.参选人基本情况表（按附件7格式）</w:t>
      </w:r>
    </w:p>
    <w:p w14:paraId="4F6A4DE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8.资格条件（符合参选人须知前附表7资格要求的相关证明文件）</w:t>
      </w:r>
    </w:p>
    <w:p w14:paraId="1E89218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19B7CF5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（2）《食品生产许可证》或《食品经营许可证》复印件</w:t>
      </w:r>
    </w:p>
    <w:p w14:paraId="6E17B0B4">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（3）业绩：参选单位独立完成的完整版合同复印件，并加盖参选单位公章。</w:t>
      </w:r>
    </w:p>
    <w:p w14:paraId="5C263F1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（4）“信用中国”网站查询后下载信用信息报告自动生成的PDF文件，并加盖参选单位公章。</w:t>
      </w:r>
    </w:p>
    <w:p w14:paraId="64B8570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（5）企查查首页股东信息、主要人员截图并加盖参选单位公章。</w:t>
      </w:r>
    </w:p>
    <w:p w14:paraId="3E35995D">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（6）其他资格要求证明文件（如有，格式自拟）</w:t>
      </w:r>
    </w:p>
    <w:p w14:paraId="70A96F83">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9.报价一览表（按附件8的格式报价）</w:t>
      </w:r>
    </w:p>
    <w:p w14:paraId="69722F04">
      <w:pPr>
        <w:widowControl/>
        <w:spacing w:line="480" w:lineRule="exact"/>
        <w:ind w:firstLine="620" w:firstLineChars="200"/>
        <w:rPr>
          <w:rFonts w:ascii="仿宋" w:hAnsi="仿宋" w:eastAsia="仿宋"/>
          <w:spacing w:val="15"/>
          <w:kern w:val="0"/>
          <w:sz w:val="28"/>
          <w:szCs w:val="28"/>
        </w:rPr>
      </w:pPr>
      <w:r>
        <w:rPr>
          <w:rFonts w:ascii="仿宋" w:hAnsi="仿宋" w:eastAsia="仿宋"/>
          <w:spacing w:val="15"/>
          <w:kern w:val="0"/>
          <w:sz w:val="28"/>
          <w:szCs w:val="28"/>
        </w:rPr>
        <w:t>10</w:t>
      </w:r>
      <w:r>
        <w:rPr>
          <w:rFonts w:hint="eastAsia" w:ascii="仿宋" w:hAnsi="仿宋" w:eastAsia="仿宋"/>
          <w:spacing w:val="15"/>
          <w:kern w:val="0"/>
          <w:sz w:val="28"/>
          <w:szCs w:val="28"/>
        </w:rPr>
        <w:t>.服务部分（符合综合评分表服务部分要求的相关证明文件，格式自拟）</w:t>
      </w:r>
    </w:p>
    <w:p w14:paraId="6B1561C2">
      <w:pPr>
        <w:widowControl/>
        <w:spacing w:line="480" w:lineRule="exact"/>
        <w:ind w:firstLine="620" w:firstLineChars="200"/>
        <w:rPr>
          <w:rFonts w:hint="eastAsia" w:ascii="仿宋" w:hAnsi="仿宋" w:eastAsia="仿宋"/>
          <w:spacing w:val="15"/>
          <w:kern w:val="0"/>
          <w:sz w:val="28"/>
          <w:szCs w:val="28"/>
        </w:rPr>
      </w:pPr>
      <w:r>
        <w:rPr>
          <w:rFonts w:ascii="仿宋" w:hAnsi="仿宋" w:eastAsia="仿宋"/>
          <w:spacing w:val="15"/>
          <w:kern w:val="0"/>
          <w:sz w:val="28"/>
          <w:szCs w:val="28"/>
        </w:rPr>
        <w:t>11</w:t>
      </w:r>
      <w:r>
        <w:rPr>
          <w:rFonts w:hint="eastAsia" w:ascii="仿宋" w:hAnsi="仿宋" w:eastAsia="仿宋"/>
          <w:spacing w:val="15"/>
          <w:kern w:val="0"/>
          <w:sz w:val="28"/>
          <w:szCs w:val="28"/>
        </w:rPr>
        <w:t>.商务部分（符合综合评分表商务部分要求的相关证明文件，格式自拟）</w:t>
      </w:r>
    </w:p>
    <w:p w14:paraId="1812EB9E">
      <w:pPr>
        <w:widowControl/>
        <w:spacing w:line="480" w:lineRule="exact"/>
        <w:ind w:firstLine="620" w:firstLineChars="200"/>
        <w:rPr>
          <w:rFonts w:hint="eastAsia" w:ascii="仿宋" w:hAnsi="仿宋" w:eastAsia="仿宋"/>
          <w:spacing w:val="15"/>
          <w:kern w:val="0"/>
          <w:sz w:val="28"/>
          <w:szCs w:val="28"/>
        </w:rPr>
      </w:pPr>
      <w:r>
        <w:rPr>
          <w:rFonts w:ascii="仿宋" w:hAnsi="仿宋" w:eastAsia="仿宋"/>
          <w:spacing w:val="15"/>
          <w:kern w:val="0"/>
          <w:sz w:val="28"/>
          <w:szCs w:val="28"/>
        </w:rPr>
        <w:t>12</w:t>
      </w:r>
      <w:r>
        <w:rPr>
          <w:rFonts w:hint="eastAsia" w:ascii="仿宋" w:hAnsi="仿宋" w:eastAsia="仿宋"/>
          <w:spacing w:val="15"/>
          <w:kern w:val="0"/>
          <w:sz w:val="28"/>
          <w:szCs w:val="28"/>
        </w:rPr>
        <w:t>.商务和技术偏差表（按附件</w:t>
      </w:r>
      <w:r>
        <w:rPr>
          <w:rFonts w:ascii="仿宋" w:hAnsi="仿宋" w:eastAsia="仿宋"/>
          <w:spacing w:val="15"/>
          <w:kern w:val="0"/>
          <w:sz w:val="28"/>
          <w:szCs w:val="28"/>
        </w:rPr>
        <w:t>9</w:t>
      </w:r>
      <w:r>
        <w:rPr>
          <w:rFonts w:hint="eastAsia" w:ascii="仿宋" w:hAnsi="仿宋" w:eastAsia="仿宋"/>
          <w:spacing w:val="15"/>
          <w:kern w:val="0"/>
          <w:sz w:val="28"/>
          <w:szCs w:val="28"/>
        </w:rPr>
        <w:t>格式）</w:t>
      </w:r>
    </w:p>
    <w:p w14:paraId="28B8EE69">
      <w:pPr>
        <w:widowControl/>
        <w:spacing w:line="480" w:lineRule="exact"/>
        <w:ind w:firstLine="620" w:firstLineChars="200"/>
        <w:rPr>
          <w:rFonts w:ascii="仿宋" w:hAnsi="仿宋" w:eastAsia="仿宋"/>
          <w:spacing w:val="15"/>
          <w:kern w:val="0"/>
          <w:sz w:val="28"/>
          <w:szCs w:val="28"/>
        </w:rPr>
      </w:pPr>
    </w:p>
    <w:p w14:paraId="0ADB884B">
      <w:pPr>
        <w:widowControl/>
        <w:spacing w:line="480" w:lineRule="exact"/>
        <w:ind w:firstLine="620" w:firstLineChars="200"/>
        <w:rPr>
          <w:rFonts w:ascii="仿宋" w:hAnsi="仿宋" w:eastAsia="仿宋"/>
          <w:spacing w:val="15"/>
          <w:kern w:val="0"/>
          <w:sz w:val="28"/>
          <w:szCs w:val="28"/>
        </w:rPr>
      </w:pPr>
      <w:r>
        <w:rPr>
          <w:rFonts w:ascii="仿宋" w:hAnsi="仿宋" w:eastAsia="仿宋"/>
          <w:spacing w:val="15"/>
          <w:kern w:val="0"/>
          <w:sz w:val="28"/>
          <w:szCs w:val="28"/>
        </w:rPr>
        <w:t>13</w:t>
      </w:r>
      <w:r>
        <w:rPr>
          <w:rFonts w:hint="eastAsia" w:ascii="仿宋" w:hAnsi="仿宋" w:eastAsia="仿宋"/>
          <w:spacing w:val="15"/>
          <w:kern w:val="0"/>
          <w:sz w:val="28"/>
          <w:szCs w:val="28"/>
        </w:rPr>
        <w:t>.其他（如有，格式自拟）</w:t>
      </w:r>
    </w:p>
    <w:p w14:paraId="6BD7DEA6">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00F1A6C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6776241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085D954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E31D5E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14:paraId="38DBB4E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5E4FAC3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7F2D04A9">
      <w:pPr>
        <w:spacing w:line="480" w:lineRule="exact"/>
        <w:ind w:firstLine="620" w:firstLineChars="200"/>
        <w:rPr>
          <w:rFonts w:ascii="仿宋" w:hAnsi="仿宋" w:eastAsia="仿宋"/>
          <w:spacing w:val="15"/>
          <w:kern w:val="0"/>
          <w:sz w:val="28"/>
          <w:szCs w:val="28"/>
        </w:rPr>
        <w:sectPr>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spacing w:val="15"/>
          <w:kern w:val="0"/>
          <w:sz w:val="28"/>
          <w:szCs w:val="28"/>
        </w:rPr>
        <w:t xml:space="preserve"> </w:t>
      </w:r>
    </w:p>
    <w:p w14:paraId="238A93BC">
      <w:pPr>
        <w:tabs>
          <w:tab w:val="left" w:pos="540"/>
        </w:tabs>
        <w:rPr>
          <w:rFonts w:ascii="宋体" w:hAnsi="宋体" w:cs="宋体"/>
          <w:b/>
          <w:bCs/>
          <w:kern w:val="0"/>
          <w:sz w:val="28"/>
          <w:szCs w:val="28"/>
        </w:rPr>
      </w:pPr>
      <w:r>
        <w:rPr>
          <w:rFonts w:hint="eastAsia" w:ascii="宋体" w:hAnsi="宋体" w:cs="宋体"/>
          <w:b/>
          <w:bCs/>
          <w:kern w:val="0"/>
          <w:sz w:val="28"/>
          <w:szCs w:val="28"/>
        </w:rPr>
        <w:t>附件1:参选文件格式样本</w:t>
      </w:r>
    </w:p>
    <w:p w14:paraId="046A2843">
      <w:pPr>
        <w:tabs>
          <w:tab w:val="left" w:pos="1695"/>
          <w:tab w:val="left" w:pos="3370"/>
          <w:tab w:val="left" w:pos="5555"/>
        </w:tabs>
        <w:autoSpaceDE w:val="0"/>
        <w:autoSpaceDN w:val="0"/>
        <w:adjustRightInd w:val="0"/>
        <w:snapToGrid w:val="0"/>
        <w:spacing w:line="360" w:lineRule="auto"/>
        <w:jc w:val="center"/>
        <w:rPr>
          <w:rFonts w:ascii="仿宋_GB2312" w:hAnsi="仿宋_GB2312" w:eastAsia="仿宋_GB2312" w:cs="仿宋_GB2312"/>
          <w:b/>
          <w:bCs/>
          <w:w w:val="99"/>
          <w:kern w:val="0"/>
          <w:sz w:val="52"/>
          <w:szCs w:val="52"/>
        </w:rPr>
      </w:pPr>
    </w:p>
    <w:p w14:paraId="1770B1D3">
      <w:pPr>
        <w:jc w:val="center"/>
        <w:rPr>
          <w:rFonts w:ascii="方正公文小标宋" w:hAnsi="方正公文小标宋" w:eastAsia="方正公文小标宋" w:cs="方正公文小标宋"/>
          <w:bCs/>
          <w:sz w:val="52"/>
          <w:szCs w:val="52"/>
        </w:rPr>
      </w:pPr>
      <w:r>
        <w:rPr>
          <w:rFonts w:hint="eastAsia" w:ascii="方正公文小标宋" w:hAnsi="方正公文小标宋" w:eastAsia="方正公文小标宋" w:cs="方正公文小标宋"/>
          <w:bCs/>
          <w:sz w:val="52"/>
          <w:szCs w:val="52"/>
        </w:rPr>
        <w:t>衡阳市发展投资集团有限公司</w:t>
      </w:r>
    </w:p>
    <w:p w14:paraId="683CC284">
      <w:pPr>
        <w:jc w:val="center"/>
        <w:rPr>
          <w:rFonts w:ascii="方正公文小标宋" w:hAnsi="方正公文小标宋" w:eastAsia="方正公文小标宋" w:cs="方正公文小标宋"/>
          <w:b/>
          <w:sz w:val="52"/>
          <w:szCs w:val="52"/>
        </w:rPr>
      </w:pPr>
      <w:r>
        <w:rPr>
          <w:rFonts w:hint="eastAsia" w:ascii="方正公文小标宋" w:hAnsi="方正公文小标宋" w:eastAsia="方正公文小标宋" w:cs="方正公文小标宋"/>
          <w:bCs/>
          <w:sz w:val="52"/>
          <w:szCs w:val="52"/>
        </w:rPr>
        <w:t>职工食堂食材采购配送服务项目</w:t>
      </w:r>
    </w:p>
    <w:p w14:paraId="69320EF0">
      <w:pPr>
        <w:jc w:val="center"/>
        <w:rPr>
          <w:rFonts w:ascii="仿宋_GB2312" w:hAnsi="仿宋_GB2312" w:eastAsia="仿宋_GB2312" w:cs="仿宋_GB2312"/>
          <w:b/>
          <w:sz w:val="44"/>
        </w:rPr>
      </w:pPr>
    </w:p>
    <w:p w14:paraId="4C222DB7">
      <w:pPr>
        <w:jc w:val="center"/>
        <w:rPr>
          <w:rFonts w:ascii="仿宋_GB2312" w:hAnsi="仿宋_GB2312" w:eastAsia="仿宋_GB2312" w:cs="仿宋_GB2312"/>
          <w:b/>
          <w:sz w:val="44"/>
        </w:rPr>
      </w:pPr>
    </w:p>
    <w:p w14:paraId="36F52FBC">
      <w:pPr>
        <w:jc w:val="center"/>
        <w:rPr>
          <w:rFonts w:ascii="仿宋_GB2312" w:hAnsi="仿宋_GB2312" w:eastAsia="仿宋_GB2312" w:cs="仿宋_GB2312"/>
          <w:b/>
          <w:sz w:val="44"/>
        </w:rPr>
      </w:pPr>
    </w:p>
    <w:p w14:paraId="3AD723CA">
      <w:pPr>
        <w:jc w:val="center"/>
        <w:rPr>
          <w:rFonts w:ascii="仿宋_GB2312" w:hAnsi="仿宋_GB2312" w:eastAsia="仿宋_GB2312" w:cs="仿宋_GB2312"/>
          <w:b/>
          <w:sz w:val="44"/>
        </w:rPr>
      </w:pPr>
    </w:p>
    <w:p w14:paraId="2FFC226A">
      <w:pPr>
        <w:jc w:val="center"/>
        <w:rPr>
          <w:rFonts w:ascii="仿宋_GB2312" w:hAnsi="仿宋_GB2312" w:eastAsia="仿宋_GB2312" w:cs="仿宋_GB2312"/>
          <w:b/>
          <w:sz w:val="44"/>
          <w:u w:val="single"/>
        </w:rPr>
      </w:pPr>
      <w:r>
        <w:rPr>
          <w:rFonts w:hint="eastAsia" w:ascii="仿宋_GB2312" w:hAnsi="仿宋_GB2312" w:eastAsia="仿宋_GB2312" w:cs="仿宋_GB2312"/>
          <w:b/>
          <w:sz w:val="72"/>
        </w:rPr>
        <w:t>参选文件</w:t>
      </w:r>
    </w:p>
    <w:p w14:paraId="48DC96C5">
      <w:pPr>
        <w:widowControl/>
        <w:adjustRightInd w:val="0"/>
        <w:snapToGrid w:val="0"/>
        <w:spacing w:after="200"/>
        <w:ind w:firstLine="1124" w:firstLineChars="350"/>
        <w:rPr>
          <w:rFonts w:ascii="仿宋_GB2312" w:hAnsi="仿宋_GB2312" w:eastAsia="仿宋_GB2312" w:cs="仿宋_GB2312"/>
          <w:b/>
          <w:kern w:val="0"/>
          <w:sz w:val="32"/>
          <w:szCs w:val="32"/>
        </w:rPr>
      </w:pPr>
    </w:p>
    <w:p w14:paraId="708A171C">
      <w:pPr>
        <w:widowControl/>
        <w:adjustRightInd w:val="0"/>
        <w:snapToGrid w:val="0"/>
        <w:spacing w:after="200"/>
        <w:ind w:firstLine="1124" w:firstLineChars="350"/>
        <w:rPr>
          <w:rFonts w:ascii="仿宋_GB2312" w:hAnsi="仿宋_GB2312" w:eastAsia="仿宋_GB2312" w:cs="仿宋_GB2312"/>
          <w:b/>
          <w:bCs/>
          <w:kern w:val="0"/>
          <w:sz w:val="32"/>
          <w:szCs w:val="32"/>
        </w:rPr>
      </w:pPr>
    </w:p>
    <w:p w14:paraId="37FE9DDD">
      <w:pPr>
        <w:widowControl/>
        <w:adjustRightInd w:val="0"/>
        <w:snapToGrid w:val="0"/>
        <w:spacing w:after="200"/>
        <w:ind w:firstLine="1124" w:firstLineChars="350"/>
        <w:rPr>
          <w:rFonts w:ascii="仿宋_GB2312" w:hAnsi="仿宋_GB2312" w:eastAsia="仿宋_GB2312" w:cs="仿宋_GB2312"/>
          <w:b/>
          <w:bCs/>
          <w:kern w:val="0"/>
          <w:sz w:val="32"/>
          <w:szCs w:val="32"/>
        </w:rPr>
      </w:pPr>
    </w:p>
    <w:p w14:paraId="46435F6D">
      <w:pPr>
        <w:widowControl/>
        <w:adjustRightInd w:val="0"/>
        <w:snapToGrid w:val="0"/>
        <w:spacing w:after="200"/>
        <w:rPr>
          <w:rFonts w:ascii="仿宋_GB2312" w:hAnsi="仿宋_GB2312" w:eastAsia="仿宋_GB2312" w:cs="仿宋_GB2312"/>
          <w:b/>
          <w:bCs/>
          <w:kern w:val="0"/>
          <w:sz w:val="32"/>
          <w:szCs w:val="32"/>
        </w:rPr>
      </w:pPr>
    </w:p>
    <w:p w14:paraId="57289E3F">
      <w:pPr>
        <w:widowControl/>
        <w:adjustRightInd w:val="0"/>
        <w:snapToGrid w:val="0"/>
        <w:spacing w:after="200"/>
        <w:ind w:firstLine="1124" w:firstLineChars="350"/>
        <w:rPr>
          <w:rFonts w:ascii="仿宋_GB2312" w:hAnsi="仿宋_GB2312" w:eastAsia="仿宋_GB2312" w:cs="仿宋_GB2312"/>
          <w:b/>
          <w:bCs/>
          <w:kern w:val="0"/>
          <w:sz w:val="32"/>
          <w:szCs w:val="32"/>
        </w:rPr>
      </w:pPr>
    </w:p>
    <w:p w14:paraId="0170F9A0">
      <w:pPr>
        <w:widowControl/>
        <w:adjustRightInd w:val="0"/>
        <w:snapToGrid w:val="0"/>
        <w:spacing w:after="200"/>
        <w:ind w:firstLine="1124" w:firstLineChars="350"/>
        <w:rPr>
          <w:rFonts w:ascii="仿宋_GB2312" w:hAnsi="仿宋_GB2312" w:eastAsia="仿宋_GB2312" w:cs="仿宋_GB2312"/>
          <w:b/>
          <w:bCs/>
          <w:kern w:val="0"/>
          <w:sz w:val="32"/>
          <w:szCs w:val="32"/>
        </w:rPr>
      </w:pPr>
    </w:p>
    <w:p w14:paraId="553084B3">
      <w:pPr>
        <w:tabs>
          <w:tab w:val="left" w:pos="6080"/>
          <w:tab w:val="left" w:pos="6640"/>
        </w:tabs>
        <w:autoSpaceDE w:val="0"/>
        <w:autoSpaceDN w:val="0"/>
        <w:adjustRightInd w:val="0"/>
        <w:snapToGrid w:val="0"/>
        <w:spacing w:line="360" w:lineRule="auto"/>
        <w:rPr>
          <w:rFonts w:ascii="仿宋_GB2312" w:hAnsi="仿宋_GB2312" w:eastAsia="仿宋_GB2312" w:cs="仿宋_GB2312"/>
          <w:bCs/>
          <w:w w:val="99"/>
          <w:kern w:val="0"/>
          <w:sz w:val="32"/>
          <w:szCs w:val="32"/>
        </w:rPr>
      </w:pPr>
    </w:p>
    <w:p w14:paraId="3E4B8990">
      <w:pPr>
        <w:tabs>
          <w:tab w:val="left" w:pos="6080"/>
          <w:tab w:val="left" w:pos="6640"/>
        </w:tabs>
        <w:autoSpaceDE w:val="0"/>
        <w:autoSpaceDN w:val="0"/>
        <w:adjustRightInd w:val="0"/>
        <w:snapToGrid w:val="0"/>
        <w:spacing w:line="360" w:lineRule="auto"/>
        <w:ind w:firstLine="316" w:firstLineChars="100"/>
        <w:rPr>
          <w:rFonts w:ascii="仿宋_GB2312" w:hAnsi="仿宋_GB2312" w:eastAsia="仿宋_GB2312" w:cs="仿宋_GB2312"/>
          <w:bCs/>
          <w:w w:val="99"/>
          <w:kern w:val="0"/>
          <w:sz w:val="32"/>
          <w:szCs w:val="32"/>
        </w:rPr>
      </w:pPr>
      <w:r>
        <w:rPr>
          <w:rFonts w:hint="eastAsia" w:ascii="仿宋_GB2312" w:hAnsi="仿宋_GB2312" w:eastAsia="仿宋_GB2312" w:cs="仿宋_GB2312"/>
          <w:bCs/>
          <w:w w:val="99"/>
          <w:kern w:val="0"/>
          <w:sz w:val="32"/>
          <w:szCs w:val="32"/>
        </w:rPr>
        <w:t>参选单位</w:t>
      </w:r>
      <w:r>
        <w:rPr>
          <w:rFonts w:hint="eastAsia" w:ascii="仿宋_GB2312" w:hAnsi="仿宋_GB2312" w:eastAsia="仿宋_GB2312" w:cs="仿宋_GB2312"/>
          <w:bCs/>
          <w:spacing w:val="1"/>
          <w:w w:val="99"/>
          <w:kern w:val="0"/>
          <w:sz w:val="32"/>
          <w:szCs w:val="32"/>
        </w:rPr>
        <w:t>：</w:t>
      </w:r>
      <w:r>
        <w:rPr>
          <w:rFonts w:hint="eastAsia" w:ascii="仿宋_GB2312" w:hAnsi="仿宋_GB2312" w:eastAsia="仿宋_GB2312" w:cs="仿宋_GB2312"/>
          <w:bCs/>
          <w:w w:val="198"/>
          <w:kern w:val="0"/>
          <w:sz w:val="32"/>
          <w:szCs w:val="32"/>
          <w:u w:val="single"/>
        </w:rPr>
        <w:t xml:space="preserve">              </w:t>
      </w:r>
      <w:r>
        <w:rPr>
          <w:rFonts w:hint="eastAsia" w:ascii="仿宋_GB2312" w:hAnsi="仿宋_GB2312" w:eastAsia="仿宋_GB2312" w:cs="仿宋_GB2312"/>
          <w:bCs/>
          <w:w w:val="99"/>
          <w:kern w:val="0"/>
          <w:sz w:val="32"/>
          <w:szCs w:val="32"/>
        </w:rPr>
        <w:t>（盖单位公章）</w:t>
      </w:r>
    </w:p>
    <w:p w14:paraId="7BF4FD65">
      <w:pPr>
        <w:tabs>
          <w:tab w:val="left" w:pos="6080"/>
          <w:tab w:val="left" w:pos="6640"/>
        </w:tabs>
        <w:autoSpaceDE w:val="0"/>
        <w:autoSpaceDN w:val="0"/>
        <w:adjustRightInd w:val="0"/>
        <w:snapToGrid w:val="0"/>
        <w:spacing w:line="360" w:lineRule="auto"/>
        <w:ind w:firstLine="316" w:firstLineChars="100"/>
        <w:rPr>
          <w:rFonts w:ascii="仿宋_GB2312" w:hAnsi="仿宋_GB2312" w:eastAsia="仿宋_GB2312" w:cs="仿宋_GB2312"/>
          <w:bCs/>
          <w:kern w:val="0"/>
          <w:sz w:val="32"/>
          <w:szCs w:val="32"/>
        </w:rPr>
      </w:pPr>
      <w:r>
        <w:rPr>
          <w:rFonts w:hint="eastAsia" w:ascii="仿宋_GB2312" w:hAnsi="仿宋_GB2312" w:eastAsia="仿宋_GB2312" w:cs="仿宋_GB2312"/>
          <w:bCs/>
          <w:w w:val="99"/>
          <w:kern w:val="0"/>
          <w:sz w:val="32"/>
          <w:szCs w:val="32"/>
        </w:rPr>
        <w:t>法定代表人或其委托代理人：</w:t>
      </w:r>
      <w:r>
        <w:rPr>
          <w:rFonts w:hint="eastAsia" w:ascii="仿宋_GB2312" w:hAnsi="仿宋_GB2312" w:eastAsia="仿宋_GB2312" w:cs="仿宋_GB2312"/>
          <w:bCs/>
          <w:w w:val="198"/>
          <w:kern w:val="0"/>
          <w:sz w:val="32"/>
          <w:szCs w:val="32"/>
          <w:u w:val="single"/>
        </w:rPr>
        <w:t xml:space="preserve">        </w:t>
      </w:r>
      <w:r>
        <w:rPr>
          <w:rFonts w:hint="eastAsia" w:ascii="仿宋_GB2312" w:hAnsi="仿宋_GB2312" w:eastAsia="仿宋_GB2312" w:cs="仿宋_GB2312"/>
          <w:bCs/>
          <w:w w:val="99"/>
          <w:kern w:val="0"/>
          <w:sz w:val="32"/>
          <w:szCs w:val="32"/>
        </w:rPr>
        <w:t>（签名）</w:t>
      </w:r>
    </w:p>
    <w:p w14:paraId="2FEA55AE">
      <w:pPr>
        <w:pStyle w:val="4"/>
        <w:jc w:val="center"/>
        <w:rPr>
          <w:rFonts w:ascii="仿宋_GB2312" w:hAnsi="仿宋_GB2312" w:eastAsia="仿宋_GB2312" w:cs="仿宋_GB2312"/>
          <w:b w:val="0"/>
          <w:w w:val="99"/>
          <w:sz w:val="32"/>
          <w:u w:val="single"/>
        </w:rPr>
      </w:pPr>
    </w:p>
    <w:p w14:paraId="50AB0425">
      <w:pPr>
        <w:pStyle w:val="4"/>
        <w:jc w:val="center"/>
        <w:rPr>
          <w:rFonts w:ascii="仿宋_GB2312" w:hAnsi="仿宋_GB2312" w:eastAsia="仿宋_GB2312" w:cs="仿宋_GB2312"/>
        </w:rPr>
      </w:pPr>
      <w:r>
        <w:rPr>
          <w:rFonts w:hint="eastAsia" w:ascii="仿宋_GB2312" w:hAnsi="仿宋_GB2312" w:eastAsia="仿宋_GB2312" w:cs="仿宋_GB2312"/>
          <w:b w:val="0"/>
          <w:w w:val="99"/>
          <w:sz w:val="32"/>
          <w:u w:val="single"/>
        </w:rPr>
        <w:t xml:space="preserve">     </w:t>
      </w:r>
      <w:r>
        <w:rPr>
          <w:rFonts w:hint="eastAsia" w:ascii="仿宋_GB2312" w:hAnsi="仿宋_GB2312" w:eastAsia="仿宋_GB2312" w:cs="仿宋_GB2312"/>
          <w:b w:val="0"/>
          <w:w w:val="99"/>
          <w:sz w:val="32"/>
        </w:rPr>
        <w:t>年</w:t>
      </w:r>
      <w:r>
        <w:rPr>
          <w:rFonts w:hint="eastAsia" w:ascii="仿宋_GB2312" w:hAnsi="仿宋_GB2312" w:eastAsia="仿宋_GB2312" w:cs="仿宋_GB2312"/>
          <w:b w:val="0"/>
          <w:w w:val="99"/>
          <w:sz w:val="32"/>
          <w:u w:val="single"/>
        </w:rPr>
        <w:t xml:space="preserve"> </w:t>
      </w:r>
      <w:r>
        <w:rPr>
          <w:rFonts w:hint="eastAsia" w:ascii="仿宋_GB2312" w:hAnsi="仿宋_GB2312" w:eastAsia="仿宋_GB2312" w:cs="仿宋_GB2312"/>
          <w:b w:val="0"/>
          <w:w w:val="198"/>
          <w:sz w:val="32"/>
          <w:u w:val="single"/>
        </w:rPr>
        <w:t xml:space="preserve">  </w:t>
      </w:r>
      <w:r>
        <w:rPr>
          <w:rFonts w:hint="eastAsia" w:ascii="仿宋_GB2312" w:hAnsi="仿宋_GB2312" w:eastAsia="仿宋_GB2312" w:cs="仿宋_GB2312"/>
          <w:b w:val="0"/>
          <w:w w:val="99"/>
          <w:sz w:val="32"/>
        </w:rPr>
        <w:t xml:space="preserve">月 </w:t>
      </w:r>
      <w:r>
        <w:rPr>
          <w:rFonts w:hint="eastAsia" w:ascii="仿宋_GB2312" w:hAnsi="仿宋_GB2312" w:eastAsia="仿宋_GB2312" w:cs="仿宋_GB2312"/>
          <w:b w:val="0"/>
          <w:w w:val="99"/>
          <w:sz w:val="32"/>
          <w:u w:val="single"/>
        </w:rPr>
        <w:t xml:space="preserve">  </w:t>
      </w:r>
      <w:r>
        <w:rPr>
          <w:rFonts w:hint="eastAsia" w:ascii="仿宋_GB2312" w:hAnsi="仿宋_GB2312" w:eastAsia="仿宋_GB2312" w:cs="仿宋_GB2312"/>
          <w:b w:val="0"/>
          <w:w w:val="198"/>
          <w:sz w:val="32"/>
          <w:u w:val="single"/>
        </w:rPr>
        <w:t xml:space="preserve"> </w:t>
      </w:r>
      <w:r>
        <w:rPr>
          <w:rFonts w:hint="eastAsia" w:ascii="仿宋_GB2312" w:hAnsi="仿宋_GB2312" w:eastAsia="仿宋_GB2312" w:cs="仿宋_GB2312"/>
          <w:b w:val="0"/>
          <w:w w:val="99"/>
          <w:sz w:val="32"/>
        </w:rPr>
        <w:t>日</w:t>
      </w:r>
      <w:r>
        <w:rPr>
          <w:rFonts w:hint="eastAsia" w:ascii="仿宋_GB2312" w:hAnsi="仿宋_GB2312" w:eastAsia="仿宋_GB2312" w:cs="仿宋_GB2312"/>
          <w:sz w:val="24"/>
          <w:szCs w:val="24"/>
        </w:rPr>
        <w:br w:type="page"/>
      </w:r>
    </w:p>
    <w:p w14:paraId="45BE9A97">
      <w:pPr>
        <w:rPr>
          <w:rFonts w:ascii="方正公文小标宋" w:hAnsi="方正公文小标宋" w:eastAsia="方正公文小标宋" w:cs="方正公文小标宋"/>
          <w:sz w:val="32"/>
          <w:szCs w:val="32"/>
        </w:rPr>
      </w:pPr>
      <w:r>
        <w:rPr>
          <w:rFonts w:hint="eastAsia" w:ascii="宋体" w:hAnsi="宋体" w:cs="宋体"/>
          <w:b/>
          <w:bCs/>
          <w:kern w:val="0"/>
          <w:sz w:val="28"/>
          <w:szCs w:val="28"/>
        </w:rPr>
        <w:t>附件2</w:t>
      </w:r>
    </w:p>
    <w:p w14:paraId="33B138C5">
      <w:pPr>
        <w:jc w:val="center"/>
        <w:rPr>
          <w:rFonts w:ascii="方正公文小标宋" w:hAnsi="方正公文小标宋" w:eastAsia="方正公文小标宋" w:cs="方正公文小标宋"/>
          <w:sz w:val="32"/>
          <w:szCs w:val="32"/>
        </w:rPr>
      </w:pPr>
      <w:r>
        <w:rPr>
          <w:rFonts w:hint="eastAsia" w:ascii="方正公文小标宋" w:hAnsi="方正公文小标宋" w:eastAsia="方正公文小标宋" w:cs="方正公文小标宋"/>
          <w:sz w:val="32"/>
          <w:szCs w:val="32"/>
        </w:rPr>
        <w:t>目  录</w:t>
      </w:r>
    </w:p>
    <w:p w14:paraId="0716947D">
      <w:pPr>
        <w:jc w:val="center"/>
        <w:rPr>
          <w:rFonts w:ascii="仿宋_GB2312" w:hAnsi="仿宋_GB2312" w:eastAsia="仿宋_GB2312" w:cs="仿宋_GB2312"/>
          <w:sz w:val="32"/>
          <w:szCs w:val="32"/>
        </w:rPr>
        <w:sectPr>
          <w:pgSz w:w="11906" w:h="16838"/>
          <w:pgMar w:top="1440" w:right="1800" w:bottom="1440" w:left="1800" w:header="851" w:footer="992" w:gutter="0"/>
          <w:pgNumType w:fmt="decimal"/>
          <w:cols w:space="720" w:num="1"/>
          <w:docGrid w:type="lines" w:linePitch="312" w:charSpace="0"/>
        </w:sectPr>
      </w:pPr>
      <w:r>
        <w:rPr>
          <w:rFonts w:hint="eastAsia" w:ascii="仿宋_GB2312" w:hAnsi="仿宋_GB2312" w:eastAsia="仿宋_GB2312" w:cs="仿宋_GB2312"/>
          <w:sz w:val="32"/>
          <w:szCs w:val="32"/>
        </w:rPr>
        <w:t>(格式自理）</w:t>
      </w:r>
    </w:p>
    <w:p w14:paraId="09F9EE25">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3</w:t>
      </w:r>
    </w:p>
    <w:p w14:paraId="35F3F732">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729E5A46">
      <w:pPr>
        <w:widowControl/>
        <w:spacing w:line="480" w:lineRule="exact"/>
        <w:jc w:val="center"/>
        <w:rPr>
          <w:rFonts w:ascii="宋体" w:hAnsi="宋体"/>
          <w:b/>
          <w:bCs/>
          <w:kern w:val="0"/>
          <w:sz w:val="44"/>
          <w:szCs w:val="44"/>
        </w:rPr>
      </w:pPr>
    </w:p>
    <w:p w14:paraId="2D210801">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2CED5DBB">
      <w:pPr>
        <w:widowControl/>
        <w:spacing w:line="480" w:lineRule="exact"/>
        <w:rPr>
          <w:rFonts w:ascii="仿宋" w:hAnsi="仿宋" w:eastAsia="仿宋"/>
          <w:kern w:val="0"/>
          <w:sz w:val="28"/>
          <w:szCs w:val="28"/>
        </w:rPr>
      </w:pPr>
    </w:p>
    <w:p w14:paraId="0F38BB75">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（比选项目名称）</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1EEF0B1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5EE0701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（写具体什么服务）  </w:t>
      </w:r>
      <w:r>
        <w:rPr>
          <w:rFonts w:hint="eastAsia" w:ascii="仿宋" w:hAnsi="仿宋" w:eastAsia="仿宋"/>
          <w:kern w:val="0"/>
          <w:sz w:val="28"/>
          <w:szCs w:val="28"/>
        </w:rPr>
        <w:t>服务任务。</w:t>
      </w:r>
    </w:p>
    <w:p w14:paraId="3DE1235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（写具体什么服务）  </w:t>
      </w:r>
      <w:r>
        <w:rPr>
          <w:rFonts w:hint="eastAsia" w:ascii="仿宋" w:hAnsi="仿宋" w:eastAsia="仿宋"/>
          <w:kern w:val="0"/>
          <w:sz w:val="28"/>
          <w:szCs w:val="28"/>
        </w:rPr>
        <w:t>服务工作结束前，遵守本比选文件的承诺，且在此期限内具有约束力。</w:t>
      </w:r>
    </w:p>
    <w:p w14:paraId="5032CB7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7A4B1E7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39B36A4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32CB6E2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6D300FE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06D90D14">
      <w:pPr>
        <w:widowControl/>
        <w:spacing w:line="480" w:lineRule="exact"/>
        <w:ind w:firstLine="3209"/>
        <w:rPr>
          <w:rFonts w:ascii="仿宋" w:hAnsi="仿宋" w:eastAsia="仿宋"/>
          <w:kern w:val="0"/>
          <w:sz w:val="28"/>
          <w:szCs w:val="28"/>
        </w:rPr>
      </w:pPr>
    </w:p>
    <w:p w14:paraId="0C859008">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76AB2C12">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1F642626">
      <w:pPr>
        <w:widowControl/>
        <w:spacing w:line="480" w:lineRule="exact"/>
        <w:ind w:firstLine="4346"/>
        <w:rPr>
          <w:rFonts w:ascii="仿宋" w:hAnsi="仿宋" w:eastAsia="仿宋"/>
          <w:kern w:val="0"/>
          <w:sz w:val="32"/>
          <w:szCs w:val="32"/>
        </w:rPr>
      </w:pPr>
    </w:p>
    <w:p w14:paraId="351956FC">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0DFD2134">
      <w:pPr>
        <w:spacing w:line="480" w:lineRule="exact"/>
        <w:rPr>
          <w:rFonts w:ascii="宋体" w:hAnsi="宋体"/>
          <w:b/>
          <w:bCs/>
          <w:kern w:val="0"/>
          <w:sz w:val="28"/>
          <w:szCs w:val="28"/>
        </w:rPr>
      </w:pPr>
      <w:r>
        <w:rPr>
          <w:rFonts w:hint="eastAsia" w:ascii="宋体" w:hAnsi="宋体"/>
          <w:b/>
          <w:bCs/>
          <w:kern w:val="0"/>
          <w:sz w:val="28"/>
          <w:szCs w:val="28"/>
        </w:rPr>
        <w:br w:type="page"/>
      </w:r>
    </w:p>
    <w:p w14:paraId="608501EF">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附件4</w:t>
      </w:r>
    </w:p>
    <w:p w14:paraId="2FC7B5C7">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35422493">
      <w:pPr>
        <w:widowControl/>
        <w:spacing w:line="480" w:lineRule="exact"/>
        <w:jc w:val="left"/>
        <w:rPr>
          <w:rFonts w:ascii="仿宋" w:hAnsi="仿宋" w:eastAsia="仿宋"/>
          <w:kern w:val="0"/>
          <w:sz w:val="24"/>
        </w:rPr>
      </w:pPr>
    </w:p>
    <w:p w14:paraId="3FDE07E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（写具体什么服务）  </w:t>
      </w:r>
      <w:r>
        <w:rPr>
          <w:rFonts w:hint="eastAsia" w:ascii="仿宋" w:hAnsi="仿宋" w:eastAsia="仿宋"/>
          <w:kern w:val="0"/>
          <w:sz w:val="28"/>
          <w:szCs w:val="28"/>
        </w:rPr>
        <w:t>服务业务。</w:t>
      </w:r>
    </w:p>
    <w:p w14:paraId="2E74F28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5FAE7A4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54D2387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1082F00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657D1F21">
      <w:pPr>
        <w:widowControl/>
        <w:spacing w:line="480" w:lineRule="exact"/>
        <w:jc w:val="left"/>
        <w:rPr>
          <w:rFonts w:ascii="仿宋" w:hAnsi="仿宋" w:eastAsia="仿宋"/>
          <w:kern w:val="0"/>
          <w:sz w:val="28"/>
          <w:szCs w:val="28"/>
        </w:rPr>
      </w:pPr>
    </w:p>
    <w:p w14:paraId="3AB7850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586DC6C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6486A9B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7568D72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116B9D3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0B07DF9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060C34FC">
      <w:pPr>
        <w:widowControl/>
        <w:spacing w:line="480" w:lineRule="exact"/>
        <w:jc w:val="left"/>
        <w:rPr>
          <w:rFonts w:ascii="仿宋" w:hAnsi="仿宋" w:eastAsia="仿宋"/>
          <w:kern w:val="0"/>
          <w:sz w:val="28"/>
          <w:szCs w:val="28"/>
        </w:rPr>
      </w:pPr>
    </w:p>
    <w:p w14:paraId="75D125C3">
      <w:pPr>
        <w:pStyle w:val="17"/>
        <w:ind w:firstLine="400"/>
      </w:pPr>
    </w:p>
    <w:p w14:paraId="1479AB9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3D3123CD">
      <w:pPr>
        <w:widowControl/>
        <w:spacing w:line="480" w:lineRule="exact"/>
        <w:ind w:firstLine="420"/>
        <w:jc w:val="left"/>
        <w:rPr>
          <w:kern w:val="0"/>
          <w:szCs w:val="21"/>
        </w:rPr>
      </w:pPr>
    </w:p>
    <w:p w14:paraId="373D9A9F">
      <w:pPr>
        <w:widowControl/>
        <w:spacing w:line="480" w:lineRule="exact"/>
        <w:ind w:firstLine="420"/>
        <w:jc w:val="left"/>
        <w:rPr>
          <w:kern w:val="0"/>
          <w:szCs w:val="21"/>
        </w:rPr>
      </w:pPr>
    </w:p>
    <w:p w14:paraId="290B4B65">
      <w:pPr>
        <w:widowControl/>
        <w:spacing w:line="480" w:lineRule="exact"/>
        <w:ind w:firstLine="420"/>
        <w:jc w:val="left"/>
        <w:rPr>
          <w:kern w:val="0"/>
          <w:szCs w:val="21"/>
        </w:rPr>
      </w:pPr>
    </w:p>
    <w:p w14:paraId="3676DFEE">
      <w:pPr>
        <w:pStyle w:val="6"/>
        <w:ind w:firstLine="0"/>
      </w:pPr>
    </w:p>
    <w:p w14:paraId="4F0C6AF5">
      <w:pPr>
        <w:spacing w:line="480" w:lineRule="exact"/>
        <w:rPr>
          <w:rFonts w:ascii="宋体" w:hAnsi="宋体"/>
          <w:b/>
          <w:bCs/>
          <w:spacing w:val="15"/>
          <w:kern w:val="0"/>
          <w:sz w:val="28"/>
          <w:szCs w:val="28"/>
        </w:rPr>
      </w:pPr>
      <w:r>
        <w:rPr>
          <w:rFonts w:hint="eastAsia" w:ascii="宋体" w:hAnsi="宋体"/>
          <w:b/>
          <w:bCs/>
          <w:spacing w:val="15"/>
          <w:kern w:val="0"/>
          <w:sz w:val="28"/>
          <w:szCs w:val="28"/>
        </w:rPr>
        <w:t>附件5</w:t>
      </w:r>
    </w:p>
    <w:p w14:paraId="476B061F">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54AEFD11">
      <w:pPr>
        <w:adjustRightInd w:val="0"/>
        <w:snapToGrid w:val="0"/>
        <w:spacing w:line="360" w:lineRule="auto"/>
        <w:rPr>
          <w:rFonts w:ascii="仿宋_GB2312" w:hAnsi="华文仿宋" w:eastAsia="仿宋_GB2312"/>
          <w:sz w:val="28"/>
          <w:szCs w:val="28"/>
        </w:rPr>
      </w:pPr>
    </w:p>
    <w:p w14:paraId="5D1F057A">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7C5C70A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B1875F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B8475B3">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D6FAB3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76E697B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7F5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6E994B1">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1FEB9631">
      <w:pPr>
        <w:adjustRightInd w:val="0"/>
        <w:snapToGrid w:val="0"/>
        <w:spacing w:line="360" w:lineRule="auto"/>
        <w:rPr>
          <w:rFonts w:ascii="仿宋" w:hAnsi="仿宋" w:eastAsia="仿宋" w:cs="仿宋"/>
          <w:sz w:val="28"/>
          <w:szCs w:val="28"/>
        </w:rPr>
      </w:pPr>
    </w:p>
    <w:p w14:paraId="43DB0EFC">
      <w:pPr>
        <w:adjustRightInd w:val="0"/>
        <w:snapToGrid w:val="0"/>
        <w:spacing w:line="360" w:lineRule="auto"/>
        <w:rPr>
          <w:rFonts w:ascii="仿宋" w:hAnsi="仿宋" w:eastAsia="仿宋" w:cs="仿宋"/>
          <w:sz w:val="28"/>
          <w:szCs w:val="28"/>
        </w:rPr>
      </w:pPr>
    </w:p>
    <w:p w14:paraId="5B7EEEE0">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47F2A976">
      <w:pPr>
        <w:adjustRightInd w:val="0"/>
        <w:snapToGrid w:val="0"/>
        <w:spacing w:line="360" w:lineRule="auto"/>
        <w:ind w:firstLine="2511" w:firstLineChars="897"/>
        <w:rPr>
          <w:rFonts w:ascii="仿宋" w:hAnsi="仿宋" w:eastAsia="仿宋" w:cs="仿宋"/>
          <w:sz w:val="28"/>
          <w:szCs w:val="28"/>
        </w:rPr>
      </w:pPr>
    </w:p>
    <w:p w14:paraId="40E3545D">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6DB05526">
      <w:pPr>
        <w:widowControl/>
        <w:topLinePunct/>
        <w:spacing w:line="620" w:lineRule="exact"/>
        <w:rPr>
          <w:rFonts w:ascii="仿宋" w:hAnsi="仿宋" w:eastAsia="仿宋" w:cs="仿宋"/>
          <w:kern w:val="0"/>
          <w:sz w:val="28"/>
          <w:szCs w:val="28"/>
        </w:rPr>
      </w:pPr>
    </w:p>
    <w:p w14:paraId="62DD2677">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168C50E2">
      <w:pPr>
        <w:spacing w:line="480" w:lineRule="exact"/>
        <w:rPr>
          <w:rFonts w:ascii="宋体" w:hAnsi="宋体"/>
          <w:b/>
          <w:bCs/>
          <w:spacing w:val="15"/>
          <w:kern w:val="0"/>
          <w:sz w:val="28"/>
          <w:szCs w:val="28"/>
        </w:rPr>
      </w:pPr>
    </w:p>
    <w:p w14:paraId="411E63EB">
      <w:pPr>
        <w:spacing w:line="480" w:lineRule="exact"/>
        <w:rPr>
          <w:rFonts w:ascii="宋体" w:hAnsi="宋体"/>
          <w:b/>
          <w:bCs/>
          <w:spacing w:val="15"/>
          <w:kern w:val="0"/>
          <w:sz w:val="28"/>
          <w:szCs w:val="28"/>
        </w:rPr>
      </w:pPr>
      <w:r>
        <w:rPr>
          <w:rFonts w:hint="eastAsia" w:ascii="宋体" w:hAnsi="宋体"/>
          <w:b/>
          <w:bCs/>
          <w:spacing w:val="15"/>
          <w:kern w:val="0"/>
          <w:sz w:val="28"/>
          <w:szCs w:val="28"/>
        </w:rPr>
        <w:t>附件6</w:t>
      </w:r>
    </w:p>
    <w:p w14:paraId="28D272CE">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551B9A0"/>
    <w:p w14:paraId="4F31EB9D">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621904A8">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04FD4FC">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4218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AD53542">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55FEFCFA">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790AE36B">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411E7A39">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133C127E">
      <w:pPr>
        <w:pStyle w:val="7"/>
        <w:rPr>
          <w:rFonts w:ascii="仿宋" w:hAnsi="仿宋" w:eastAsia="仿宋" w:cs="仿宋"/>
          <w:sz w:val="28"/>
          <w:szCs w:val="28"/>
        </w:rPr>
      </w:pPr>
    </w:p>
    <w:p w14:paraId="191D10A6">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0B53F3D5">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59C088AB">
      <w:pPr>
        <w:spacing w:line="480" w:lineRule="exact"/>
        <w:rPr>
          <w:rFonts w:ascii="宋体" w:hAnsi="宋体"/>
          <w:b/>
          <w:bCs/>
          <w:kern w:val="0"/>
          <w:sz w:val="28"/>
          <w:szCs w:val="28"/>
        </w:rPr>
      </w:pPr>
      <w:r>
        <w:rPr>
          <w:rFonts w:hint="eastAsia" w:ascii="宋体" w:hAnsi="宋体"/>
          <w:b/>
          <w:bCs/>
          <w:kern w:val="0"/>
          <w:sz w:val="28"/>
          <w:szCs w:val="28"/>
        </w:rPr>
        <w:br w:type="page"/>
      </w:r>
    </w:p>
    <w:p w14:paraId="4D4AB5B3">
      <w:pPr>
        <w:widowControl/>
        <w:spacing w:line="480" w:lineRule="exact"/>
        <w:rPr>
          <w:rFonts w:ascii="宋体" w:hAnsi="宋体" w:cs="宋体"/>
          <w:b/>
          <w:bCs/>
          <w:kern w:val="0"/>
          <w:sz w:val="28"/>
          <w:szCs w:val="28"/>
        </w:rPr>
      </w:pPr>
      <w:r>
        <w:rPr>
          <w:rFonts w:hint="eastAsia" w:ascii="宋体" w:hAnsi="宋体" w:cs="宋体"/>
          <w:b/>
          <w:bCs/>
          <w:kern w:val="0"/>
          <w:sz w:val="28"/>
          <w:szCs w:val="28"/>
        </w:rPr>
        <w:t>附件7</w:t>
      </w:r>
    </w:p>
    <w:p w14:paraId="2413CC5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5D96B5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4CC52EAA">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2642D48C">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1E5DE5AF">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09CDFD5F">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E7C2540">
            <w:pPr>
              <w:topLinePunct/>
              <w:spacing w:line="440" w:lineRule="exact"/>
              <w:jc w:val="center"/>
              <w:rPr>
                <w:rFonts w:ascii="仿宋" w:hAnsi="仿宋" w:eastAsia="仿宋" w:cs="仿宋"/>
                <w:sz w:val="24"/>
              </w:rPr>
            </w:pPr>
          </w:p>
        </w:tc>
      </w:tr>
      <w:tr w14:paraId="6A2072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F6D7577">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D418509">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5012ABD">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52B60D33">
            <w:pPr>
              <w:topLinePunct/>
              <w:spacing w:line="440" w:lineRule="exact"/>
              <w:jc w:val="center"/>
              <w:rPr>
                <w:rFonts w:ascii="仿宋" w:hAnsi="仿宋" w:eastAsia="仿宋" w:cs="仿宋"/>
                <w:sz w:val="24"/>
              </w:rPr>
            </w:pPr>
          </w:p>
        </w:tc>
      </w:tr>
      <w:tr w14:paraId="70EE8D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0C4A60E">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202C7F93">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0516BCA">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BA945A4">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7D26CE5C">
            <w:pPr>
              <w:topLinePunct/>
              <w:spacing w:line="440" w:lineRule="exact"/>
              <w:jc w:val="center"/>
              <w:rPr>
                <w:rFonts w:ascii="仿宋" w:hAnsi="仿宋" w:eastAsia="仿宋" w:cs="仿宋"/>
                <w:sz w:val="24"/>
              </w:rPr>
            </w:pPr>
          </w:p>
        </w:tc>
      </w:tr>
      <w:tr w14:paraId="75D65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7A3E26F">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1D23D637">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466CB9">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8E95D7C">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46692823">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2A7E492D">
            <w:pPr>
              <w:topLinePunct/>
              <w:spacing w:line="440" w:lineRule="exact"/>
              <w:jc w:val="center"/>
              <w:rPr>
                <w:rFonts w:ascii="仿宋" w:hAnsi="仿宋" w:eastAsia="仿宋" w:cs="仿宋"/>
                <w:sz w:val="24"/>
              </w:rPr>
            </w:pPr>
          </w:p>
        </w:tc>
      </w:tr>
      <w:tr w14:paraId="0AB66C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53A305DB">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9E2B9F5">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879125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52B606B1">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DA1BC02">
            <w:pPr>
              <w:topLinePunct/>
              <w:spacing w:line="440" w:lineRule="exact"/>
              <w:ind w:firstLine="120" w:firstLineChars="50"/>
              <w:jc w:val="center"/>
              <w:rPr>
                <w:rFonts w:ascii="仿宋" w:hAnsi="仿宋" w:eastAsia="仿宋" w:cs="仿宋"/>
                <w:sz w:val="24"/>
              </w:rPr>
            </w:pPr>
          </w:p>
        </w:tc>
      </w:tr>
      <w:tr w14:paraId="1AF37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757809C">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72EBDAE">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8F1DD52">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ED82542">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CD411FE">
            <w:pPr>
              <w:topLinePunct/>
              <w:spacing w:line="440" w:lineRule="exact"/>
              <w:ind w:firstLine="120" w:firstLineChars="50"/>
              <w:jc w:val="center"/>
              <w:rPr>
                <w:rFonts w:ascii="仿宋" w:hAnsi="仿宋" w:eastAsia="仿宋" w:cs="仿宋"/>
                <w:sz w:val="24"/>
              </w:rPr>
            </w:pPr>
          </w:p>
        </w:tc>
      </w:tr>
      <w:tr w14:paraId="2718D4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6651DF9">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8F2C9EB">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A1321C3">
            <w:pPr>
              <w:topLinePunct/>
              <w:spacing w:line="440" w:lineRule="exact"/>
              <w:ind w:firstLine="120" w:firstLineChars="50"/>
              <w:jc w:val="center"/>
              <w:rPr>
                <w:rFonts w:ascii="仿宋" w:hAnsi="仿宋" w:eastAsia="仿宋" w:cs="仿宋"/>
                <w:sz w:val="24"/>
              </w:rPr>
            </w:pPr>
          </w:p>
        </w:tc>
      </w:tr>
      <w:tr w14:paraId="00563D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A18E68A">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E24A391">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6CE4F18">
            <w:pPr>
              <w:topLinePunct/>
              <w:spacing w:line="440" w:lineRule="exact"/>
              <w:ind w:firstLine="120" w:firstLineChars="50"/>
              <w:jc w:val="center"/>
              <w:rPr>
                <w:rFonts w:ascii="仿宋" w:hAnsi="仿宋" w:eastAsia="仿宋" w:cs="仿宋"/>
                <w:sz w:val="24"/>
              </w:rPr>
            </w:pPr>
          </w:p>
        </w:tc>
      </w:tr>
      <w:tr w14:paraId="05084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7896997">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D04EBBF">
            <w:pPr>
              <w:topLinePunct/>
              <w:spacing w:line="440" w:lineRule="exact"/>
              <w:jc w:val="center"/>
              <w:rPr>
                <w:rFonts w:ascii="仿宋" w:hAnsi="仿宋" w:eastAsia="仿宋" w:cs="仿宋"/>
                <w:sz w:val="24"/>
              </w:rPr>
            </w:pPr>
          </w:p>
        </w:tc>
      </w:tr>
      <w:tr w14:paraId="39EB94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976D58E">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D207715">
            <w:pPr>
              <w:topLinePunct/>
              <w:spacing w:line="440" w:lineRule="exact"/>
              <w:jc w:val="center"/>
              <w:rPr>
                <w:rFonts w:ascii="仿宋" w:hAnsi="仿宋" w:eastAsia="仿宋" w:cs="仿宋"/>
                <w:sz w:val="24"/>
              </w:rPr>
            </w:pPr>
          </w:p>
        </w:tc>
      </w:tr>
      <w:tr w14:paraId="0DB6F2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840A2E0">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CFF4513">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A82502D">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5F700F91">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7941B17">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1EB654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D031538">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6151FA0">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58CD4381">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80852C7">
            <w:pPr>
              <w:topLinePunct/>
              <w:spacing w:line="440" w:lineRule="exact"/>
              <w:jc w:val="center"/>
              <w:rPr>
                <w:rFonts w:ascii="仿宋" w:hAnsi="仿宋" w:eastAsia="仿宋" w:cs="仿宋"/>
                <w:sz w:val="24"/>
              </w:rPr>
            </w:pPr>
          </w:p>
        </w:tc>
      </w:tr>
      <w:tr w14:paraId="08594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826767C">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A96A8E6">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9331105">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613F0CF">
            <w:pPr>
              <w:topLinePunct/>
              <w:spacing w:line="440" w:lineRule="exact"/>
              <w:jc w:val="center"/>
              <w:rPr>
                <w:rFonts w:ascii="仿宋" w:hAnsi="仿宋" w:eastAsia="仿宋" w:cs="仿宋"/>
                <w:sz w:val="24"/>
              </w:rPr>
            </w:pPr>
          </w:p>
        </w:tc>
      </w:tr>
      <w:tr w14:paraId="77DCF3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6EE148F">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81BF746">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1892A60">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2E2BBF8">
            <w:pPr>
              <w:topLinePunct/>
              <w:spacing w:line="440" w:lineRule="exact"/>
              <w:jc w:val="center"/>
              <w:rPr>
                <w:rFonts w:ascii="仿宋" w:hAnsi="仿宋" w:eastAsia="仿宋" w:cs="仿宋"/>
                <w:sz w:val="24"/>
              </w:rPr>
            </w:pPr>
          </w:p>
        </w:tc>
      </w:tr>
      <w:tr w14:paraId="67233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615DA12">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682ABDC">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0627449F">
      <w:pPr>
        <w:widowControl/>
        <w:spacing w:line="480" w:lineRule="exact"/>
        <w:rPr>
          <w:rFonts w:ascii="仿宋" w:hAnsi="仿宋" w:eastAsia="仿宋"/>
          <w:kern w:val="0"/>
          <w:sz w:val="28"/>
          <w:szCs w:val="28"/>
        </w:rPr>
      </w:pPr>
    </w:p>
    <w:p w14:paraId="5E1DE392">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47981D9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4716E664">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42E7284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附件8</w:t>
      </w:r>
    </w:p>
    <w:p w14:paraId="48191831">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3572F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5B8F1F23">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28027F3F">
            <w:pPr>
              <w:spacing w:line="420" w:lineRule="exact"/>
              <w:rPr>
                <w:rFonts w:ascii="仿宋" w:hAnsi="仿宋" w:eastAsia="仿宋" w:cs="仿宋"/>
                <w:sz w:val="28"/>
                <w:szCs w:val="28"/>
              </w:rPr>
            </w:pPr>
            <w:r>
              <w:rPr>
                <w:rFonts w:hint="eastAsia" w:ascii="仿宋" w:hAnsi="仿宋" w:eastAsia="仿宋" w:cs="仿宋"/>
                <w:sz w:val="28"/>
                <w:szCs w:val="28"/>
              </w:rPr>
              <w:t>衡阳市发展投资集团有限公司职工食堂食材采购配送服务项目</w:t>
            </w:r>
          </w:p>
        </w:tc>
      </w:tr>
      <w:tr w14:paraId="5AF2A7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99" w:type="dxa"/>
            <w:tcBorders>
              <w:top w:val="single" w:color="auto" w:sz="6" w:space="0"/>
              <w:left w:val="double" w:color="auto" w:sz="4" w:space="0"/>
              <w:right w:val="single" w:color="auto" w:sz="6" w:space="0"/>
            </w:tcBorders>
            <w:vAlign w:val="center"/>
          </w:tcPr>
          <w:p w14:paraId="11CE3DE5">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6734BA4A">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配送发展投食堂所需食材，包含蔬菜、水果、鲜肉、冷冻食品、副食品、海鲜、调味品、粮油、米面、日用品等</w:t>
            </w:r>
          </w:p>
        </w:tc>
      </w:tr>
      <w:tr w14:paraId="1BD7BA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99" w:type="dxa"/>
            <w:tcBorders>
              <w:left w:val="double" w:color="auto" w:sz="4" w:space="0"/>
              <w:right w:val="single" w:color="auto" w:sz="6" w:space="0"/>
            </w:tcBorders>
            <w:vAlign w:val="center"/>
          </w:tcPr>
          <w:p w14:paraId="67757AA1">
            <w:pPr>
              <w:spacing w:line="420" w:lineRule="exact"/>
              <w:jc w:val="center"/>
              <w:rPr>
                <w:rFonts w:ascii="仿宋" w:hAnsi="仿宋" w:eastAsia="仿宋" w:cs="仿宋"/>
                <w:sz w:val="28"/>
                <w:szCs w:val="28"/>
              </w:rPr>
            </w:pPr>
            <w:r>
              <w:rPr>
                <w:rFonts w:hint="eastAsia" w:ascii="仿宋" w:hAnsi="仿宋" w:eastAsia="仿宋" w:cs="仿宋"/>
                <w:sz w:val="28"/>
                <w:szCs w:val="28"/>
              </w:rPr>
              <w:t>投标折扣报价</w:t>
            </w:r>
          </w:p>
        </w:tc>
        <w:tc>
          <w:tcPr>
            <w:tcW w:w="7879" w:type="dxa"/>
            <w:tcBorders>
              <w:top w:val="single" w:color="auto" w:sz="4" w:space="0"/>
              <w:left w:val="single" w:color="auto" w:sz="6" w:space="0"/>
              <w:bottom w:val="single" w:color="auto" w:sz="4" w:space="0"/>
              <w:right w:val="double" w:color="auto" w:sz="4" w:space="0"/>
            </w:tcBorders>
            <w:vAlign w:val="center"/>
          </w:tcPr>
          <w:p w14:paraId="18A64AB6">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 xml:space="preserve">整体折扣率报价为    % </w:t>
            </w:r>
          </w:p>
        </w:tc>
      </w:tr>
      <w:tr w14:paraId="3A292B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BD368E0">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299E1F23">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满足比选文件要求，具体内容在合同中明确。</w:t>
            </w:r>
          </w:p>
        </w:tc>
      </w:tr>
      <w:tr w14:paraId="2EB873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361892D">
            <w:pPr>
              <w:spacing w:line="420" w:lineRule="exact"/>
              <w:jc w:val="center"/>
              <w:rPr>
                <w:rFonts w:ascii="仿宋" w:hAnsi="仿宋" w:eastAsia="仿宋" w:cs="仿宋"/>
                <w:sz w:val="28"/>
                <w:szCs w:val="28"/>
              </w:rPr>
            </w:pPr>
            <w:r>
              <w:rPr>
                <w:rFonts w:hint="eastAsia" w:ascii="仿宋" w:hAnsi="仿宋" w:eastAsia="仿宋" w:cs="仿宋"/>
                <w:sz w:val="28"/>
                <w:szCs w:val="28"/>
              </w:rPr>
              <w:t>项目</w:t>
            </w:r>
          </w:p>
          <w:p w14:paraId="66D34E6E">
            <w:pPr>
              <w:spacing w:line="420" w:lineRule="exact"/>
              <w:jc w:val="center"/>
              <w:rPr>
                <w:rFonts w:ascii="仿宋" w:hAnsi="仿宋" w:eastAsia="仿宋" w:cs="仿宋"/>
                <w:sz w:val="28"/>
                <w:szCs w:val="28"/>
              </w:rPr>
            </w:pPr>
            <w:r>
              <w:rPr>
                <w:rFonts w:hint="eastAsia" w:ascii="仿宋" w:hAnsi="仿宋" w:eastAsia="仿宋" w:cs="仿宋"/>
                <w:sz w:val="28"/>
                <w:szCs w:val="28"/>
              </w:rPr>
              <w:t>负责人</w:t>
            </w:r>
          </w:p>
        </w:tc>
        <w:tc>
          <w:tcPr>
            <w:tcW w:w="7879" w:type="dxa"/>
            <w:tcBorders>
              <w:top w:val="single" w:color="auto" w:sz="6" w:space="0"/>
              <w:left w:val="single" w:color="auto" w:sz="6" w:space="0"/>
              <w:bottom w:val="single" w:color="auto" w:sz="6" w:space="0"/>
              <w:right w:val="double" w:color="auto" w:sz="4" w:space="0"/>
            </w:tcBorders>
            <w:vAlign w:val="center"/>
          </w:tcPr>
          <w:p w14:paraId="36328CD7">
            <w:pPr>
              <w:spacing w:line="420" w:lineRule="exact"/>
              <w:ind w:firstLine="280" w:firstLineChars="100"/>
              <w:rPr>
                <w:rFonts w:ascii="仿宋" w:hAnsi="仿宋" w:eastAsia="仿宋" w:cs="仿宋"/>
                <w:sz w:val="28"/>
                <w:szCs w:val="28"/>
              </w:rPr>
            </w:pPr>
          </w:p>
        </w:tc>
      </w:tr>
      <w:tr w14:paraId="47319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4BA260C4">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4831E8A3">
            <w:pPr>
              <w:spacing w:line="420" w:lineRule="exact"/>
              <w:rPr>
                <w:rFonts w:ascii="仿宋" w:hAnsi="仿宋" w:eastAsia="仿宋" w:cs="仿宋"/>
                <w:sz w:val="24"/>
              </w:rPr>
            </w:pPr>
            <w:r>
              <w:rPr>
                <w:rFonts w:hint="eastAsia" w:ascii="仿宋" w:hAnsi="仿宋" w:eastAsia="仿宋" w:cs="仿宋"/>
                <w:b/>
                <w:bCs/>
                <w:sz w:val="16"/>
                <w:szCs w:val="16"/>
              </w:rPr>
              <w:t>1.</w:t>
            </w:r>
            <w:r>
              <w:rPr>
                <w:rFonts w:hint="eastAsia" w:ascii="仿宋" w:hAnsi="仿宋" w:eastAsia="仿宋" w:cs="仿宋"/>
                <w:sz w:val="16"/>
                <w:szCs w:val="16"/>
              </w:rPr>
              <w:t>供应产品为优特级，价格以湖南省农业农村厅发布政务信息公开《湖南主要农产品批发价格监测周报》每月初第一次发布价格为当月基准价。价格周报未包括的商品，由比选人随机抽派2-3人在市内香江百货、步步高超市、三泰市场等地点采集信息作为基准价。</w:t>
            </w:r>
            <w:r>
              <w:rPr>
                <w:rFonts w:hint="eastAsia" w:ascii="仿宋" w:hAnsi="仿宋" w:eastAsia="仿宋" w:cs="仿宋"/>
                <w:b/>
                <w:bCs/>
                <w:sz w:val="16"/>
                <w:szCs w:val="16"/>
              </w:rPr>
              <w:t>2.</w:t>
            </w:r>
            <w:r>
              <w:rPr>
                <w:rFonts w:ascii="仿宋" w:hAnsi="仿宋" w:eastAsia="仿宋" w:cs="仿宋"/>
                <w:sz w:val="16"/>
                <w:szCs w:val="16"/>
              </w:rPr>
              <w:t>报价应是最终用户验收合格后的总价，包括但不限于货款、货物运输、保险、代理、培训、材料损耗和设备折旧成本、投入项目人员的工资、福利、社保等人工成本，税金及附加、销售费用、管理费用、财务费用等多种构成因素</w:t>
            </w:r>
            <w:r>
              <w:rPr>
                <w:rFonts w:hint="eastAsia" w:ascii="仿宋" w:hAnsi="仿宋" w:eastAsia="仿宋" w:cs="仿宋"/>
                <w:sz w:val="16"/>
                <w:szCs w:val="16"/>
              </w:rPr>
              <w:t>及与参选单位履约本项目所需要的</w:t>
            </w:r>
            <w:r>
              <w:rPr>
                <w:rFonts w:ascii="仿宋" w:hAnsi="仿宋" w:eastAsia="仿宋" w:cs="仿宋"/>
                <w:sz w:val="16"/>
                <w:szCs w:val="16"/>
              </w:rPr>
              <w:t>其它一切费用。</w:t>
            </w:r>
            <w:r>
              <w:rPr>
                <w:rFonts w:hint="eastAsia" w:ascii="仿宋" w:hAnsi="仿宋" w:eastAsia="仿宋" w:cs="仿宋"/>
                <w:sz w:val="16"/>
                <w:szCs w:val="16"/>
              </w:rPr>
              <w:t>本项目按月支付结算。</w:t>
            </w:r>
            <w:r>
              <w:rPr>
                <w:rFonts w:ascii="仿宋" w:hAnsi="仿宋" w:eastAsia="仿宋" w:cs="仿宋"/>
                <w:sz w:val="16"/>
                <w:szCs w:val="16"/>
              </w:rPr>
              <w:t>（基本配送频率，果蔬、生鲜肉类工作日每天一次，大米、食用油每月1-2次。）</w:t>
            </w:r>
            <w:r>
              <w:rPr>
                <w:rFonts w:hint="eastAsia" w:ascii="仿宋" w:hAnsi="仿宋" w:eastAsia="仿宋" w:cs="仿宋"/>
                <w:b/>
                <w:bCs/>
                <w:sz w:val="16"/>
                <w:szCs w:val="16"/>
              </w:rPr>
              <w:t>3.</w:t>
            </w:r>
            <w:r>
              <w:rPr>
                <w:rFonts w:ascii="仿宋" w:hAnsi="仿宋" w:eastAsia="仿宋" w:cs="仿宋"/>
                <w:sz w:val="16"/>
                <w:szCs w:val="16"/>
              </w:rPr>
              <w:t>整体折扣率填报说明：如某参选单位承诺，以湖南省农业农村厅发布政务信息公开《湖南主要农产品批发价格监测周报》每月初第一次发布价格为当月基准价。价格周报未包括的商品，以衡阳大型商场超市（包括但不限于香江百货、步步高超市、三泰市场等）同类商品询价价格为基础，整体给予比选人10%的价格优惠，那么该参选单位的折扣率就填0.90；折扣率最多保留小数点后2位，否则将被认定为无效折扣率。</w:t>
            </w:r>
            <w:r>
              <w:rPr>
                <w:rFonts w:hint="eastAsia" w:ascii="仿宋" w:hAnsi="仿宋" w:eastAsia="仿宋" w:cs="仿宋"/>
                <w:b/>
                <w:bCs/>
                <w:sz w:val="16"/>
                <w:szCs w:val="16"/>
              </w:rPr>
              <w:t>4.</w:t>
            </w:r>
            <w:r>
              <w:rPr>
                <w:rFonts w:ascii="仿宋" w:hAnsi="仿宋" w:eastAsia="仿宋" w:cs="仿宋"/>
                <w:sz w:val="16"/>
                <w:szCs w:val="16"/>
              </w:rPr>
              <w:t>最低折扣率</w:t>
            </w:r>
            <w:r>
              <w:rPr>
                <w:rFonts w:hint="eastAsia" w:ascii="仿宋" w:hAnsi="仿宋" w:eastAsia="仿宋" w:cs="仿宋"/>
                <w:sz w:val="16"/>
                <w:szCs w:val="16"/>
              </w:rPr>
              <w:t>及评分分值</w:t>
            </w:r>
            <w:r>
              <w:rPr>
                <w:rFonts w:ascii="仿宋" w:hAnsi="仿宋" w:eastAsia="仿宋" w:cs="仿宋"/>
                <w:sz w:val="16"/>
                <w:szCs w:val="16"/>
              </w:rPr>
              <w:t>的认定：如只有A、B、C三位参选人投标，且三位参选人填报的有效折扣率分别为0.92、0.93、0.90，那么0.90在所有折扣率中最低，即为最低折扣率（评标基准折扣率）。报价得分=〔1－（投标折扣率-评标基准折扣率）/评标基准折扣率〕×价格分值</w:t>
            </w:r>
            <w:r>
              <w:rPr>
                <w:rFonts w:hint="eastAsia" w:ascii="仿宋" w:hAnsi="仿宋" w:eastAsia="仿宋" w:cs="仿宋"/>
                <w:sz w:val="16"/>
                <w:szCs w:val="16"/>
              </w:rPr>
              <w:t>，</w:t>
            </w:r>
            <w:r>
              <w:rPr>
                <w:rFonts w:ascii="仿宋" w:hAnsi="仿宋" w:eastAsia="仿宋" w:cs="仿宋"/>
                <w:sz w:val="16"/>
                <w:szCs w:val="16"/>
              </w:rPr>
              <w:t>则A参选人得分计算公式为：〔1－（0.92-0.90）/0.90〕×55=53.9</w:t>
            </w:r>
          </w:p>
        </w:tc>
      </w:tr>
    </w:tbl>
    <w:p w14:paraId="4B38DB30">
      <w:pPr>
        <w:widowControl/>
        <w:spacing w:line="480" w:lineRule="exact"/>
        <w:rPr>
          <w:rFonts w:ascii="仿宋" w:hAnsi="仿宋" w:eastAsia="仿宋"/>
          <w:kern w:val="0"/>
          <w:sz w:val="28"/>
          <w:szCs w:val="28"/>
        </w:rPr>
      </w:pPr>
    </w:p>
    <w:p w14:paraId="3BD4A99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531F8C7">
      <w:pPr>
        <w:widowControl/>
        <w:spacing w:line="480" w:lineRule="exact"/>
        <w:rPr>
          <w:rFonts w:ascii="仿宋" w:hAnsi="仿宋" w:eastAsia="仿宋"/>
          <w:kern w:val="0"/>
          <w:sz w:val="28"/>
          <w:szCs w:val="28"/>
        </w:rPr>
      </w:pPr>
    </w:p>
    <w:p w14:paraId="74CCEFF1">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5163585">
      <w:pPr>
        <w:widowControl/>
        <w:spacing w:line="480" w:lineRule="exact"/>
        <w:rPr>
          <w:rFonts w:ascii="仿宋" w:hAnsi="仿宋" w:eastAsia="仿宋"/>
          <w:kern w:val="0"/>
          <w:sz w:val="28"/>
          <w:szCs w:val="28"/>
        </w:rPr>
      </w:pPr>
    </w:p>
    <w:p w14:paraId="302F71F3">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352ADEEA">
      <w:pPr>
        <w:widowControl/>
        <w:spacing w:line="480" w:lineRule="exact"/>
        <w:ind w:firstLine="562"/>
        <w:rPr>
          <w:rFonts w:ascii="宋体" w:hAnsi="宋体"/>
          <w:b/>
          <w:bCs/>
          <w:kern w:val="0"/>
          <w:sz w:val="28"/>
          <w:szCs w:val="28"/>
        </w:rPr>
      </w:pPr>
      <w:r>
        <w:rPr>
          <w:rFonts w:hint="eastAsia" w:ascii="宋体" w:hAnsi="宋体"/>
          <w:b/>
          <w:bCs/>
          <w:kern w:val="0"/>
          <w:sz w:val="28"/>
          <w:szCs w:val="28"/>
        </w:rPr>
        <w:t>附件7</w:t>
      </w:r>
    </w:p>
    <w:p w14:paraId="303BE9AB">
      <w:pPr>
        <w:pStyle w:val="39"/>
        <w:jc w:val="center"/>
        <w:outlineLvl w:val="1"/>
        <w:rPr>
          <w:rStyle w:val="41"/>
          <w:rFonts w:hint="eastAsia" w:ascii="仿宋_GB2312" w:eastAsia="仿宋_GB2312"/>
        </w:rPr>
      </w:pPr>
      <w:r>
        <w:rPr>
          <w:rStyle w:val="41"/>
          <w:rFonts w:hint="eastAsia" w:ascii="仿宋_GB2312" w:eastAsia="仿宋_GB2312"/>
          <w:b/>
          <w:sz w:val="32"/>
          <w:szCs w:val="32"/>
        </w:rPr>
        <w:t>商务和技术偏差表</w:t>
      </w:r>
    </w:p>
    <w:tbl>
      <w:tblPr>
        <w:tblStyle w:val="18"/>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4E55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5F64CE9">
            <w:pPr>
              <w:pStyle w:val="38"/>
              <w:widowControl/>
              <w:snapToGrid w:val="0"/>
              <w:jc w:val="center"/>
              <w:rPr>
                <w:rStyle w:val="41"/>
                <w:rFonts w:hint="eastAsia"/>
                <w:b/>
                <w:kern w:val="0"/>
              </w:rPr>
            </w:pPr>
            <w:r>
              <w:rPr>
                <w:rStyle w:val="41"/>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14:paraId="3FA608C9">
            <w:pPr>
              <w:pStyle w:val="38"/>
              <w:widowControl/>
              <w:snapToGrid w:val="0"/>
              <w:jc w:val="center"/>
              <w:rPr>
                <w:rStyle w:val="41"/>
                <w:rFonts w:hint="eastAsia"/>
                <w:b/>
                <w:kern w:val="0"/>
              </w:rPr>
            </w:pPr>
            <w:r>
              <w:rPr>
                <w:rStyle w:val="41"/>
                <w:rFonts w:hint="eastAsia" w:ascii="宋体" w:hAnsi="宋体"/>
                <w:b/>
                <w:kern w:val="0"/>
              </w:rPr>
              <w:t>招标文件章节及条款号</w:t>
            </w:r>
          </w:p>
        </w:tc>
        <w:tc>
          <w:tcPr>
            <w:tcW w:w="3469" w:type="dxa"/>
            <w:tcBorders>
              <w:top w:val="single" w:color="auto" w:sz="4" w:space="0"/>
              <w:left w:val="nil"/>
              <w:bottom w:val="single" w:color="auto" w:sz="4" w:space="0"/>
              <w:right w:val="single" w:color="auto" w:sz="4" w:space="0"/>
            </w:tcBorders>
            <w:vAlign w:val="center"/>
          </w:tcPr>
          <w:p w14:paraId="531766F9">
            <w:pPr>
              <w:pStyle w:val="38"/>
              <w:widowControl/>
              <w:snapToGrid w:val="0"/>
              <w:jc w:val="center"/>
              <w:rPr>
                <w:rStyle w:val="41"/>
                <w:b/>
                <w:kern w:val="0"/>
              </w:rPr>
            </w:pPr>
            <w:r>
              <w:rPr>
                <w:rStyle w:val="41"/>
                <w:rFonts w:hint="eastAsia" w:ascii="宋体" w:hAnsi="宋体"/>
                <w:b/>
                <w:kern w:val="0"/>
              </w:rPr>
              <w:t>投标文件章节及条款号</w:t>
            </w:r>
          </w:p>
        </w:tc>
        <w:tc>
          <w:tcPr>
            <w:tcW w:w="1624" w:type="dxa"/>
            <w:tcBorders>
              <w:top w:val="single" w:color="auto" w:sz="4" w:space="0"/>
              <w:left w:val="nil"/>
              <w:bottom w:val="single" w:color="auto" w:sz="4" w:space="0"/>
              <w:right w:val="single" w:color="auto" w:sz="4" w:space="0"/>
            </w:tcBorders>
            <w:vAlign w:val="center"/>
          </w:tcPr>
          <w:p w14:paraId="41F91C86">
            <w:pPr>
              <w:pStyle w:val="38"/>
              <w:widowControl/>
              <w:snapToGrid w:val="0"/>
              <w:jc w:val="center"/>
              <w:rPr>
                <w:rStyle w:val="41"/>
                <w:b/>
                <w:kern w:val="0"/>
              </w:rPr>
            </w:pPr>
            <w:r>
              <w:rPr>
                <w:rStyle w:val="41"/>
                <w:rFonts w:hint="eastAsia" w:ascii="宋体" w:hAnsi="宋体"/>
                <w:b/>
                <w:kern w:val="0"/>
              </w:rPr>
              <w:t>偏差说明</w:t>
            </w:r>
          </w:p>
        </w:tc>
      </w:tr>
      <w:tr w14:paraId="6B01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3890F88">
            <w:pPr>
              <w:pStyle w:val="38"/>
              <w:widowControl/>
              <w:snapToGrid w:val="0"/>
              <w:jc w:val="center"/>
              <w:rPr>
                <w:rStyle w:val="41"/>
                <w:kern w:val="0"/>
              </w:rPr>
            </w:pPr>
            <w:r>
              <w:rPr>
                <w:rStyle w:val="41"/>
                <w:kern w:val="0"/>
              </w:rPr>
              <w:t>1</w:t>
            </w:r>
          </w:p>
        </w:tc>
        <w:tc>
          <w:tcPr>
            <w:tcW w:w="2694" w:type="dxa"/>
            <w:tcBorders>
              <w:top w:val="single" w:color="auto" w:sz="4" w:space="0"/>
              <w:left w:val="nil"/>
              <w:bottom w:val="single" w:color="auto" w:sz="4" w:space="0"/>
              <w:right w:val="single" w:color="auto" w:sz="4" w:space="0"/>
            </w:tcBorders>
            <w:vAlign w:val="center"/>
          </w:tcPr>
          <w:p w14:paraId="3880D57F">
            <w:pPr>
              <w:pStyle w:val="38"/>
              <w:widowControl/>
              <w:snapToGrid w:val="0"/>
              <w:jc w:val="center"/>
              <w:rPr>
                <w:rStyle w:val="41"/>
                <w:kern w:val="0"/>
              </w:rPr>
            </w:pPr>
          </w:p>
        </w:tc>
        <w:tc>
          <w:tcPr>
            <w:tcW w:w="3469" w:type="dxa"/>
            <w:tcBorders>
              <w:top w:val="single" w:color="auto" w:sz="4" w:space="0"/>
              <w:left w:val="nil"/>
              <w:bottom w:val="single" w:color="auto" w:sz="4" w:space="0"/>
              <w:right w:val="single" w:color="auto" w:sz="4" w:space="0"/>
            </w:tcBorders>
            <w:vAlign w:val="center"/>
          </w:tcPr>
          <w:p w14:paraId="3668561A">
            <w:pPr>
              <w:pStyle w:val="38"/>
              <w:widowControl/>
              <w:snapToGrid w:val="0"/>
              <w:jc w:val="center"/>
              <w:rPr>
                <w:rStyle w:val="41"/>
                <w:kern w:val="0"/>
              </w:rPr>
            </w:pPr>
          </w:p>
        </w:tc>
        <w:tc>
          <w:tcPr>
            <w:tcW w:w="1624" w:type="dxa"/>
            <w:tcBorders>
              <w:top w:val="single" w:color="auto" w:sz="4" w:space="0"/>
              <w:left w:val="nil"/>
              <w:bottom w:val="single" w:color="auto" w:sz="4" w:space="0"/>
              <w:right w:val="single" w:color="auto" w:sz="4" w:space="0"/>
            </w:tcBorders>
            <w:vAlign w:val="center"/>
          </w:tcPr>
          <w:p w14:paraId="6D702992">
            <w:pPr>
              <w:pStyle w:val="38"/>
              <w:widowControl/>
              <w:snapToGrid w:val="0"/>
              <w:jc w:val="center"/>
              <w:rPr>
                <w:rStyle w:val="41"/>
                <w:kern w:val="0"/>
              </w:rPr>
            </w:pPr>
          </w:p>
        </w:tc>
      </w:tr>
      <w:tr w14:paraId="10D2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601E87D">
            <w:pPr>
              <w:pStyle w:val="38"/>
              <w:widowControl/>
              <w:snapToGrid w:val="0"/>
              <w:jc w:val="center"/>
              <w:rPr>
                <w:rStyle w:val="41"/>
                <w:kern w:val="0"/>
              </w:rPr>
            </w:pPr>
            <w:r>
              <w:rPr>
                <w:rStyle w:val="41"/>
                <w:kern w:val="0"/>
              </w:rPr>
              <w:t>2</w:t>
            </w:r>
          </w:p>
        </w:tc>
        <w:tc>
          <w:tcPr>
            <w:tcW w:w="2694" w:type="dxa"/>
            <w:tcBorders>
              <w:top w:val="single" w:color="auto" w:sz="4" w:space="0"/>
              <w:left w:val="nil"/>
              <w:bottom w:val="single" w:color="auto" w:sz="4" w:space="0"/>
              <w:right w:val="single" w:color="auto" w:sz="4" w:space="0"/>
            </w:tcBorders>
            <w:vAlign w:val="center"/>
          </w:tcPr>
          <w:p w14:paraId="4BDF5DD8">
            <w:pPr>
              <w:pStyle w:val="38"/>
              <w:widowControl/>
              <w:snapToGrid w:val="0"/>
              <w:jc w:val="center"/>
              <w:rPr>
                <w:rStyle w:val="41"/>
                <w:kern w:val="0"/>
              </w:rPr>
            </w:pPr>
          </w:p>
        </w:tc>
        <w:tc>
          <w:tcPr>
            <w:tcW w:w="3469" w:type="dxa"/>
            <w:tcBorders>
              <w:top w:val="single" w:color="auto" w:sz="4" w:space="0"/>
              <w:left w:val="nil"/>
              <w:bottom w:val="single" w:color="auto" w:sz="4" w:space="0"/>
              <w:right w:val="single" w:color="auto" w:sz="4" w:space="0"/>
            </w:tcBorders>
            <w:vAlign w:val="center"/>
          </w:tcPr>
          <w:p w14:paraId="3168D4A0">
            <w:pPr>
              <w:pStyle w:val="38"/>
              <w:widowControl/>
              <w:snapToGrid w:val="0"/>
              <w:jc w:val="center"/>
              <w:rPr>
                <w:rStyle w:val="41"/>
                <w:kern w:val="0"/>
              </w:rPr>
            </w:pPr>
          </w:p>
        </w:tc>
        <w:tc>
          <w:tcPr>
            <w:tcW w:w="1624" w:type="dxa"/>
            <w:tcBorders>
              <w:top w:val="single" w:color="auto" w:sz="4" w:space="0"/>
              <w:left w:val="nil"/>
              <w:bottom w:val="single" w:color="auto" w:sz="4" w:space="0"/>
              <w:right w:val="single" w:color="auto" w:sz="4" w:space="0"/>
            </w:tcBorders>
            <w:vAlign w:val="center"/>
          </w:tcPr>
          <w:p w14:paraId="5E6EA3D8">
            <w:pPr>
              <w:pStyle w:val="38"/>
              <w:widowControl/>
              <w:snapToGrid w:val="0"/>
              <w:jc w:val="center"/>
              <w:rPr>
                <w:rStyle w:val="41"/>
                <w:kern w:val="0"/>
              </w:rPr>
            </w:pPr>
          </w:p>
        </w:tc>
      </w:tr>
      <w:tr w14:paraId="1C5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5969D03">
            <w:pPr>
              <w:pStyle w:val="38"/>
              <w:widowControl/>
              <w:snapToGrid w:val="0"/>
              <w:jc w:val="center"/>
              <w:rPr>
                <w:rStyle w:val="41"/>
                <w:kern w:val="0"/>
              </w:rPr>
            </w:pPr>
            <w:r>
              <w:rPr>
                <w:rStyle w:val="41"/>
                <w:kern w:val="0"/>
              </w:rPr>
              <w:t>3</w:t>
            </w:r>
          </w:p>
        </w:tc>
        <w:tc>
          <w:tcPr>
            <w:tcW w:w="2694" w:type="dxa"/>
            <w:tcBorders>
              <w:top w:val="single" w:color="auto" w:sz="4" w:space="0"/>
              <w:left w:val="nil"/>
              <w:bottom w:val="single" w:color="auto" w:sz="4" w:space="0"/>
              <w:right w:val="single" w:color="auto" w:sz="4" w:space="0"/>
            </w:tcBorders>
            <w:vAlign w:val="center"/>
          </w:tcPr>
          <w:p w14:paraId="3DF60240">
            <w:pPr>
              <w:pStyle w:val="38"/>
              <w:widowControl/>
              <w:snapToGrid w:val="0"/>
              <w:jc w:val="center"/>
              <w:rPr>
                <w:rStyle w:val="41"/>
                <w:kern w:val="0"/>
              </w:rPr>
            </w:pPr>
          </w:p>
        </w:tc>
        <w:tc>
          <w:tcPr>
            <w:tcW w:w="3469" w:type="dxa"/>
            <w:tcBorders>
              <w:top w:val="single" w:color="auto" w:sz="4" w:space="0"/>
              <w:left w:val="nil"/>
              <w:bottom w:val="single" w:color="auto" w:sz="4" w:space="0"/>
              <w:right w:val="single" w:color="auto" w:sz="4" w:space="0"/>
            </w:tcBorders>
            <w:vAlign w:val="center"/>
          </w:tcPr>
          <w:p w14:paraId="1BD56B20">
            <w:pPr>
              <w:pStyle w:val="38"/>
              <w:widowControl/>
              <w:snapToGrid w:val="0"/>
              <w:jc w:val="center"/>
              <w:rPr>
                <w:rStyle w:val="41"/>
                <w:kern w:val="0"/>
              </w:rPr>
            </w:pPr>
          </w:p>
        </w:tc>
        <w:tc>
          <w:tcPr>
            <w:tcW w:w="1624" w:type="dxa"/>
            <w:tcBorders>
              <w:top w:val="single" w:color="auto" w:sz="4" w:space="0"/>
              <w:left w:val="nil"/>
              <w:bottom w:val="single" w:color="auto" w:sz="4" w:space="0"/>
              <w:right w:val="single" w:color="auto" w:sz="4" w:space="0"/>
            </w:tcBorders>
            <w:vAlign w:val="center"/>
          </w:tcPr>
          <w:p w14:paraId="372E08F7">
            <w:pPr>
              <w:pStyle w:val="38"/>
              <w:widowControl/>
              <w:snapToGrid w:val="0"/>
              <w:jc w:val="center"/>
              <w:rPr>
                <w:rStyle w:val="41"/>
                <w:kern w:val="0"/>
              </w:rPr>
            </w:pPr>
          </w:p>
        </w:tc>
      </w:tr>
      <w:tr w14:paraId="6F3EA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FC57576">
            <w:pPr>
              <w:pStyle w:val="38"/>
              <w:widowControl/>
              <w:snapToGrid w:val="0"/>
              <w:jc w:val="center"/>
              <w:rPr>
                <w:rStyle w:val="41"/>
                <w:kern w:val="0"/>
              </w:rPr>
            </w:pPr>
            <w:r>
              <w:rPr>
                <w:rStyle w:val="41"/>
                <w:kern w:val="0"/>
              </w:rPr>
              <w:t>4</w:t>
            </w:r>
          </w:p>
        </w:tc>
        <w:tc>
          <w:tcPr>
            <w:tcW w:w="2694" w:type="dxa"/>
            <w:tcBorders>
              <w:top w:val="single" w:color="auto" w:sz="4" w:space="0"/>
              <w:left w:val="nil"/>
              <w:bottom w:val="single" w:color="auto" w:sz="4" w:space="0"/>
              <w:right w:val="single" w:color="auto" w:sz="4" w:space="0"/>
            </w:tcBorders>
            <w:vAlign w:val="center"/>
          </w:tcPr>
          <w:p w14:paraId="5DE40062">
            <w:pPr>
              <w:pStyle w:val="38"/>
              <w:widowControl/>
              <w:snapToGrid w:val="0"/>
              <w:jc w:val="center"/>
              <w:rPr>
                <w:rStyle w:val="41"/>
                <w:kern w:val="0"/>
              </w:rPr>
            </w:pPr>
          </w:p>
        </w:tc>
        <w:tc>
          <w:tcPr>
            <w:tcW w:w="3469" w:type="dxa"/>
            <w:tcBorders>
              <w:top w:val="single" w:color="auto" w:sz="4" w:space="0"/>
              <w:left w:val="nil"/>
              <w:bottom w:val="single" w:color="auto" w:sz="4" w:space="0"/>
              <w:right w:val="single" w:color="auto" w:sz="4" w:space="0"/>
            </w:tcBorders>
            <w:vAlign w:val="center"/>
          </w:tcPr>
          <w:p w14:paraId="55397CBB">
            <w:pPr>
              <w:pStyle w:val="38"/>
              <w:widowControl/>
              <w:snapToGrid w:val="0"/>
              <w:jc w:val="center"/>
              <w:rPr>
                <w:rStyle w:val="41"/>
                <w:kern w:val="0"/>
              </w:rPr>
            </w:pPr>
          </w:p>
        </w:tc>
        <w:tc>
          <w:tcPr>
            <w:tcW w:w="1624" w:type="dxa"/>
            <w:tcBorders>
              <w:top w:val="single" w:color="auto" w:sz="4" w:space="0"/>
              <w:left w:val="nil"/>
              <w:bottom w:val="single" w:color="auto" w:sz="4" w:space="0"/>
              <w:right w:val="single" w:color="auto" w:sz="4" w:space="0"/>
            </w:tcBorders>
            <w:vAlign w:val="center"/>
          </w:tcPr>
          <w:p w14:paraId="2CC5F407">
            <w:pPr>
              <w:pStyle w:val="38"/>
              <w:widowControl/>
              <w:snapToGrid w:val="0"/>
              <w:jc w:val="center"/>
              <w:rPr>
                <w:rStyle w:val="41"/>
                <w:kern w:val="0"/>
              </w:rPr>
            </w:pPr>
          </w:p>
        </w:tc>
      </w:tr>
      <w:tr w14:paraId="59B8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DF2CAF0">
            <w:pPr>
              <w:pStyle w:val="38"/>
              <w:widowControl/>
              <w:snapToGrid w:val="0"/>
              <w:jc w:val="center"/>
              <w:rPr>
                <w:rStyle w:val="41"/>
                <w:kern w:val="0"/>
              </w:rPr>
            </w:pPr>
            <w:r>
              <w:rPr>
                <w:rStyle w:val="41"/>
                <w:kern w:val="0"/>
              </w:rPr>
              <w:t>5</w:t>
            </w:r>
          </w:p>
        </w:tc>
        <w:tc>
          <w:tcPr>
            <w:tcW w:w="2694" w:type="dxa"/>
            <w:tcBorders>
              <w:top w:val="single" w:color="auto" w:sz="4" w:space="0"/>
              <w:left w:val="nil"/>
              <w:bottom w:val="single" w:color="auto" w:sz="4" w:space="0"/>
              <w:right w:val="single" w:color="auto" w:sz="4" w:space="0"/>
            </w:tcBorders>
            <w:vAlign w:val="center"/>
          </w:tcPr>
          <w:p w14:paraId="59B2C1CC">
            <w:pPr>
              <w:pStyle w:val="38"/>
              <w:widowControl/>
              <w:snapToGrid w:val="0"/>
              <w:jc w:val="center"/>
              <w:rPr>
                <w:rStyle w:val="41"/>
                <w:kern w:val="0"/>
              </w:rPr>
            </w:pPr>
          </w:p>
        </w:tc>
        <w:tc>
          <w:tcPr>
            <w:tcW w:w="3469" w:type="dxa"/>
            <w:tcBorders>
              <w:top w:val="single" w:color="auto" w:sz="4" w:space="0"/>
              <w:left w:val="nil"/>
              <w:bottom w:val="single" w:color="auto" w:sz="4" w:space="0"/>
              <w:right w:val="single" w:color="auto" w:sz="4" w:space="0"/>
            </w:tcBorders>
            <w:vAlign w:val="center"/>
          </w:tcPr>
          <w:p w14:paraId="4FD416EA">
            <w:pPr>
              <w:pStyle w:val="38"/>
              <w:widowControl/>
              <w:snapToGrid w:val="0"/>
              <w:jc w:val="center"/>
              <w:rPr>
                <w:rStyle w:val="41"/>
                <w:kern w:val="0"/>
              </w:rPr>
            </w:pPr>
          </w:p>
        </w:tc>
        <w:tc>
          <w:tcPr>
            <w:tcW w:w="1624" w:type="dxa"/>
            <w:tcBorders>
              <w:top w:val="single" w:color="auto" w:sz="4" w:space="0"/>
              <w:left w:val="nil"/>
              <w:bottom w:val="single" w:color="auto" w:sz="4" w:space="0"/>
              <w:right w:val="single" w:color="auto" w:sz="4" w:space="0"/>
            </w:tcBorders>
            <w:vAlign w:val="center"/>
          </w:tcPr>
          <w:p w14:paraId="7CE1441F">
            <w:pPr>
              <w:pStyle w:val="38"/>
              <w:widowControl/>
              <w:snapToGrid w:val="0"/>
              <w:jc w:val="center"/>
              <w:rPr>
                <w:rStyle w:val="41"/>
                <w:kern w:val="0"/>
              </w:rPr>
            </w:pPr>
          </w:p>
        </w:tc>
      </w:tr>
      <w:tr w14:paraId="7B07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E34351E">
            <w:pPr>
              <w:pStyle w:val="38"/>
              <w:widowControl/>
              <w:snapToGrid w:val="0"/>
              <w:jc w:val="center"/>
              <w:rPr>
                <w:rStyle w:val="41"/>
                <w:kern w:val="0"/>
              </w:rPr>
            </w:pPr>
            <w:r>
              <w:rPr>
                <w:rStyle w:val="41"/>
                <w:kern w:val="0"/>
              </w:rPr>
              <w:t>……</w:t>
            </w:r>
          </w:p>
        </w:tc>
        <w:tc>
          <w:tcPr>
            <w:tcW w:w="2694" w:type="dxa"/>
            <w:tcBorders>
              <w:top w:val="single" w:color="auto" w:sz="4" w:space="0"/>
              <w:left w:val="nil"/>
              <w:bottom w:val="single" w:color="auto" w:sz="4" w:space="0"/>
              <w:right w:val="single" w:color="auto" w:sz="4" w:space="0"/>
            </w:tcBorders>
            <w:vAlign w:val="center"/>
          </w:tcPr>
          <w:p w14:paraId="69A92D10">
            <w:pPr>
              <w:pStyle w:val="38"/>
              <w:widowControl/>
              <w:snapToGrid w:val="0"/>
              <w:jc w:val="center"/>
              <w:rPr>
                <w:rStyle w:val="41"/>
                <w:kern w:val="0"/>
              </w:rPr>
            </w:pPr>
          </w:p>
        </w:tc>
        <w:tc>
          <w:tcPr>
            <w:tcW w:w="3469" w:type="dxa"/>
            <w:tcBorders>
              <w:top w:val="single" w:color="auto" w:sz="4" w:space="0"/>
              <w:left w:val="nil"/>
              <w:bottom w:val="single" w:color="auto" w:sz="4" w:space="0"/>
              <w:right w:val="single" w:color="auto" w:sz="4" w:space="0"/>
            </w:tcBorders>
            <w:vAlign w:val="center"/>
          </w:tcPr>
          <w:p w14:paraId="2D6E768C">
            <w:pPr>
              <w:pStyle w:val="38"/>
              <w:widowControl/>
              <w:snapToGrid w:val="0"/>
              <w:jc w:val="center"/>
              <w:rPr>
                <w:rStyle w:val="41"/>
                <w:kern w:val="0"/>
              </w:rPr>
            </w:pPr>
          </w:p>
        </w:tc>
        <w:tc>
          <w:tcPr>
            <w:tcW w:w="1624" w:type="dxa"/>
            <w:tcBorders>
              <w:top w:val="single" w:color="auto" w:sz="4" w:space="0"/>
              <w:left w:val="nil"/>
              <w:bottom w:val="single" w:color="auto" w:sz="4" w:space="0"/>
              <w:right w:val="single" w:color="auto" w:sz="4" w:space="0"/>
            </w:tcBorders>
            <w:vAlign w:val="center"/>
          </w:tcPr>
          <w:p w14:paraId="0BA5FC51">
            <w:pPr>
              <w:pStyle w:val="38"/>
              <w:widowControl/>
              <w:snapToGrid w:val="0"/>
              <w:jc w:val="center"/>
              <w:rPr>
                <w:rStyle w:val="41"/>
                <w:kern w:val="0"/>
              </w:rPr>
            </w:pPr>
          </w:p>
        </w:tc>
      </w:tr>
    </w:tbl>
    <w:p w14:paraId="5E5EA4E3">
      <w:pPr>
        <w:pStyle w:val="38"/>
        <w:spacing w:before="156" w:beforeLines="50"/>
        <w:ind w:firstLine="420" w:firstLineChars="200"/>
        <w:rPr>
          <w:rStyle w:val="41"/>
        </w:rPr>
      </w:pPr>
      <w:r>
        <w:rPr>
          <w:rStyle w:val="41"/>
          <w:rFonts w:hint="eastAsia" w:ascii="宋体" w:hAnsi="宋体"/>
        </w:rPr>
        <w:t>参选人保证：响应比选人要求的全部内容，无商务和技术偏差。</w:t>
      </w:r>
    </w:p>
    <w:p w14:paraId="5DB3516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14:paraId="3259ABF5">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5F97E10C">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566938C6">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171FD335">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00D79A22">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731DD865">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52BA4178">
      <w:pPr>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398D6A24">
      <w:pPr>
        <w:pStyle w:val="40"/>
        <w:rPr>
          <w:rFonts w:hint="eastAsia"/>
        </w:rPr>
      </w:pPr>
      <w:r>
        <w:t xml:space="preserve"> </w:t>
      </w:r>
    </w:p>
    <w:p w14:paraId="4265B016">
      <w:pPr>
        <w:spacing w:line="480" w:lineRule="exact"/>
        <w:ind w:firstLine="4760" w:firstLineChars="1700"/>
        <w:rPr>
          <w:rFonts w:ascii="仿宋" w:hAnsi="仿宋" w:eastAsia="仿宋"/>
          <w:kern w:val="0"/>
          <w:sz w:val="28"/>
          <w:szCs w:val="28"/>
        </w:rPr>
        <w:sectPr>
          <w:pgSz w:w="11906" w:h="16838"/>
          <w:pgMar w:top="1440" w:right="1800" w:bottom="1440" w:left="1800" w:header="851" w:footer="992" w:gutter="0"/>
          <w:pgNumType w:fmt="decimal"/>
          <w:cols w:space="425" w:num="1"/>
          <w:docGrid w:type="lines" w:linePitch="312" w:charSpace="0"/>
        </w:sectPr>
      </w:pPr>
    </w:p>
    <w:p w14:paraId="6C96023A">
      <w:pPr>
        <w:adjustRightInd w:val="0"/>
        <w:snapToGrid w:val="0"/>
        <w:spacing w:line="560" w:lineRule="exact"/>
        <w:jc w:val="center"/>
      </w:pPr>
      <w:r>
        <w:rPr>
          <w:rFonts w:hint="eastAsia" w:ascii="Calibri" w:hAnsi="Calibri" w:eastAsia="Arial Unicode MS"/>
          <w:bCs/>
          <w:kern w:val="44"/>
          <w:sz w:val="44"/>
          <w:szCs w:val="44"/>
        </w:rPr>
        <w:t>第四章  评标办法（综合评分法）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F4B5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0CD3FAB3">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74718C25">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99F23B3">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186C8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42199AF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1AE16F7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683684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6B5F23E9">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7BC2DF6B">
            <w:pPr>
              <w:widowControl/>
              <w:spacing w:line="360" w:lineRule="exact"/>
              <w:rPr>
                <w:rFonts w:ascii="仿宋" w:hAnsi="仿宋" w:eastAsia="仿宋" w:cs="仿宋"/>
                <w:kern w:val="0"/>
                <w:szCs w:val="21"/>
              </w:rPr>
            </w:pPr>
            <w:r>
              <w:rPr>
                <w:rFonts w:hint="eastAsia" w:ascii="仿宋" w:hAnsi="仿宋" w:eastAsia="仿宋" w:cs="仿宋"/>
                <w:kern w:val="0"/>
                <w:szCs w:val="21"/>
              </w:rPr>
              <w:t>⑴按照评标总得分由高到低的顺序推荐中选候选人。参选人评标总得分相同时，按照其投标报价由低至高排序。投标报价也相同时，依次按照服务方案、商务部分得分由高到低确定排序。以上都相同时，按参选人现场签到的先后时间顺序确定中选候选人排序。</w:t>
            </w:r>
          </w:p>
          <w:p w14:paraId="601740C9">
            <w:pPr>
              <w:widowControl/>
              <w:spacing w:line="360" w:lineRule="exact"/>
              <w:rPr>
                <w:rFonts w:ascii="仿宋" w:hAnsi="仿宋" w:eastAsia="仿宋" w:cs="仿宋"/>
                <w:kern w:val="0"/>
                <w:szCs w:val="21"/>
                <w:u w:val="single"/>
              </w:rPr>
            </w:pPr>
            <w:r>
              <w:rPr>
                <w:rFonts w:hint="eastAsia" w:ascii="仿宋" w:hAnsi="仿宋" w:eastAsia="仿宋" w:cs="仿宋"/>
                <w:kern w:val="0"/>
                <w:szCs w:val="21"/>
              </w:rPr>
              <w:t>⑵如果排名最高的供应商放弃资格，则按照得分高低依次顺延。</w:t>
            </w:r>
          </w:p>
        </w:tc>
      </w:tr>
      <w:tr w14:paraId="73A1D9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22647F2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3961668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631DEF5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F093174">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18C096C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1ECF0F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53C2949D">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2720D9F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691BA7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53B51DC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33BE7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69EFF11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CFAD93C">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A40C77A">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FC5647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附件8报价一览表”要求</w:t>
            </w:r>
            <w:r>
              <w:rPr>
                <w:rFonts w:hint="eastAsia" w:ascii="仿宋" w:hAnsi="仿宋" w:eastAsia="仿宋" w:cs="仿宋"/>
                <w:kern w:val="0"/>
                <w:szCs w:val="21"/>
              </w:rPr>
              <w:t>投标报价</w:t>
            </w:r>
          </w:p>
        </w:tc>
      </w:tr>
      <w:tr w14:paraId="7E3EC5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5008AB54">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9689C7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A6C1549">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6A0C0DA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4787F5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5C28D55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DB255E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7353D09">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487E6170">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23CFCE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3D170D08">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06D8D92B">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F989B36">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6E3499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096" w:type="dxa"/>
            <w:vMerge w:val="restart"/>
            <w:tcBorders>
              <w:top w:val="single" w:color="auto" w:sz="4" w:space="0"/>
              <w:left w:val="single" w:color="auto" w:sz="4" w:space="0"/>
              <w:right w:val="single" w:color="auto" w:sz="4" w:space="0"/>
            </w:tcBorders>
            <w:vAlign w:val="center"/>
          </w:tcPr>
          <w:p w14:paraId="356E929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7863657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6FDB872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0851D85">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10F77A7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40073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096" w:type="dxa"/>
            <w:vMerge w:val="continue"/>
            <w:tcBorders>
              <w:left w:val="single" w:color="auto" w:sz="4" w:space="0"/>
              <w:right w:val="single" w:color="auto" w:sz="4" w:space="0"/>
            </w:tcBorders>
            <w:vAlign w:val="center"/>
          </w:tcPr>
          <w:p w14:paraId="0AF69F0E">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E09D70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8B4AD9">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471DBF0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70CD3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096" w:type="dxa"/>
            <w:vMerge w:val="continue"/>
            <w:tcBorders>
              <w:left w:val="single" w:color="auto" w:sz="4" w:space="0"/>
              <w:right w:val="single" w:color="auto" w:sz="4" w:space="0"/>
            </w:tcBorders>
            <w:vAlign w:val="center"/>
          </w:tcPr>
          <w:p w14:paraId="4C2B0BE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6DBCE0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9336FB2">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357383E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26FB2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096" w:type="dxa"/>
            <w:vMerge w:val="continue"/>
            <w:tcBorders>
              <w:left w:val="single" w:color="auto" w:sz="4" w:space="0"/>
              <w:right w:val="single" w:color="auto" w:sz="4" w:space="0"/>
            </w:tcBorders>
            <w:vAlign w:val="center"/>
          </w:tcPr>
          <w:p w14:paraId="32E9B36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B1C10F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8B87473">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1DD8786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EE228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096" w:type="dxa"/>
            <w:vMerge w:val="continue"/>
            <w:tcBorders>
              <w:left w:val="single" w:color="auto" w:sz="4" w:space="0"/>
              <w:right w:val="single" w:color="auto" w:sz="4" w:space="0"/>
            </w:tcBorders>
            <w:vAlign w:val="center"/>
          </w:tcPr>
          <w:p w14:paraId="4F599AB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048E3F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9597D57">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2FB0608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6288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096" w:type="dxa"/>
            <w:vMerge w:val="continue"/>
            <w:tcBorders>
              <w:left w:val="single" w:color="auto" w:sz="4" w:space="0"/>
              <w:right w:val="single" w:color="auto" w:sz="4" w:space="0"/>
            </w:tcBorders>
            <w:vAlign w:val="center"/>
          </w:tcPr>
          <w:p w14:paraId="33820E90">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82E49C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CA54D42">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141340E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52DA2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096" w:type="dxa"/>
            <w:vMerge w:val="continue"/>
            <w:tcBorders>
              <w:left w:val="single" w:color="auto" w:sz="4" w:space="0"/>
              <w:right w:val="single" w:color="auto" w:sz="4" w:space="0"/>
            </w:tcBorders>
            <w:vAlign w:val="center"/>
          </w:tcPr>
          <w:p w14:paraId="73020A7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E3BA5A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71A2EB6">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15C93A3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1566D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7BCAE831">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97D5A8E">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B392793">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7F04DB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60E22F1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1993384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详细评审</w:t>
            </w:r>
          </w:p>
        </w:tc>
        <w:tc>
          <w:tcPr>
            <w:tcW w:w="2008" w:type="dxa"/>
            <w:tcBorders>
              <w:top w:val="single" w:color="auto" w:sz="4" w:space="0"/>
              <w:left w:val="single" w:color="auto" w:sz="4" w:space="0"/>
              <w:bottom w:val="single" w:color="auto" w:sz="4" w:space="0"/>
              <w:right w:val="single" w:color="auto" w:sz="4" w:space="0"/>
            </w:tcBorders>
            <w:vAlign w:val="center"/>
          </w:tcPr>
          <w:p w14:paraId="0B4BE0F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综合评分表</w:t>
            </w:r>
          </w:p>
        </w:tc>
        <w:tc>
          <w:tcPr>
            <w:tcW w:w="5200" w:type="dxa"/>
            <w:tcBorders>
              <w:top w:val="single" w:color="auto" w:sz="4" w:space="0"/>
              <w:left w:val="single" w:color="auto" w:sz="4" w:space="0"/>
              <w:bottom w:val="single" w:color="auto" w:sz="4" w:space="0"/>
              <w:right w:val="single" w:color="auto" w:sz="4" w:space="0"/>
            </w:tcBorders>
            <w:vAlign w:val="center"/>
          </w:tcPr>
          <w:p w14:paraId="516E111D">
            <w:pPr>
              <w:widowControl/>
              <w:spacing w:line="360" w:lineRule="exact"/>
              <w:rPr>
                <w:rFonts w:ascii="仿宋" w:hAnsi="仿宋" w:eastAsia="仿宋" w:cs="仿宋"/>
                <w:kern w:val="0"/>
                <w:szCs w:val="21"/>
              </w:rPr>
            </w:pPr>
            <w:r>
              <w:rPr>
                <w:rFonts w:hint="eastAsia" w:ascii="仿宋" w:hAnsi="仿宋" w:eastAsia="仿宋" w:cs="仿宋"/>
                <w:kern w:val="0"/>
                <w:szCs w:val="21"/>
              </w:rPr>
              <w:t>对资格、符合性评审符合要求的参选单位进行详细评审，评标委员会按照综合评分表规定的评审因素和标准进行评审计分（详见附表：综合评分表），并计算出参选单位评标总得分。</w:t>
            </w:r>
          </w:p>
        </w:tc>
      </w:tr>
    </w:tbl>
    <w:p w14:paraId="0BBBCF01">
      <w:pPr>
        <w:adjustRightInd w:val="0"/>
        <w:snapToGrid w:val="0"/>
        <w:spacing w:line="560" w:lineRule="exact"/>
        <w:jc w:val="center"/>
        <w:rPr>
          <w:rFonts w:ascii="Calibri" w:hAnsi="Calibri" w:eastAsia="Arial Unicode MS"/>
          <w:bCs/>
          <w:kern w:val="44"/>
          <w:sz w:val="44"/>
          <w:szCs w:val="44"/>
        </w:rPr>
      </w:pPr>
    </w:p>
    <w:p w14:paraId="753DD8D4">
      <w:pPr>
        <w:pStyle w:val="24"/>
        <w:rPr>
          <w:color w:val="auto"/>
        </w:rPr>
      </w:pPr>
      <w:r>
        <w:rPr>
          <w:rFonts w:hint="eastAsia"/>
          <w:color w:val="auto"/>
        </w:rPr>
        <w:t>附表</w:t>
      </w:r>
    </w:p>
    <w:p w14:paraId="4E739623">
      <w:pPr>
        <w:adjustRightInd w:val="0"/>
        <w:snapToGrid w:val="0"/>
        <w:spacing w:line="560" w:lineRule="exact"/>
        <w:jc w:val="center"/>
        <w:rPr>
          <w:rFonts w:ascii="Arial Unicode MS" w:hAnsi="Arial Unicode MS" w:eastAsia="Arial Unicode MS" w:cs="Arial Unicode MS"/>
          <w:bCs/>
          <w:kern w:val="44"/>
          <w:sz w:val="44"/>
          <w:szCs w:val="44"/>
        </w:rPr>
      </w:pPr>
      <w:r>
        <w:rPr>
          <w:rFonts w:hint="eastAsia" w:ascii="Arial Unicode MS" w:hAnsi="Arial Unicode MS" w:eastAsia="Arial Unicode MS" w:cs="Arial Unicode MS"/>
          <w:bCs/>
          <w:kern w:val="44"/>
          <w:sz w:val="44"/>
          <w:szCs w:val="44"/>
        </w:rPr>
        <w:t>综合评分表</w:t>
      </w:r>
    </w:p>
    <w:tbl>
      <w:tblPr>
        <w:tblStyle w:val="18"/>
        <w:tblpPr w:leftFromText="180" w:rightFromText="180" w:vertAnchor="text" w:horzAnchor="page" w:tblpXSpec="center" w:tblpY="299"/>
        <w:tblW w:w="10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245"/>
        <w:gridCol w:w="3661"/>
        <w:gridCol w:w="4537"/>
      </w:tblGrid>
      <w:tr w14:paraId="2CD1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atLeast"/>
          <w:tblHeader/>
          <w:jc w:val="center"/>
        </w:trPr>
        <w:tc>
          <w:tcPr>
            <w:tcW w:w="10518" w:type="dxa"/>
            <w:gridSpan w:val="4"/>
            <w:vAlign w:val="center"/>
          </w:tcPr>
          <w:p w14:paraId="305A64C1">
            <w:pPr>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评审因素和标准</w:t>
            </w:r>
          </w:p>
        </w:tc>
      </w:tr>
      <w:tr w14:paraId="22B1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blHeader/>
          <w:jc w:val="center"/>
        </w:trPr>
        <w:tc>
          <w:tcPr>
            <w:tcW w:w="1075" w:type="dxa"/>
            <w:vAlign w:val="center"/>
          </w:tcPr>
          <w:p w14:paraId="61B584D2">
            <w:pPr>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评分因素</w:t>
            </w:r>
          </w:p>
        </w:tc>
        <w:tc>
          <w:tcPr>
            <w:tcW w:w="1245" w:type="dxa"/>
            <w:vAlign w:val="center"/>
          </w:tcPr>
          <w:p w14:paraId="5654DE7B">
            <w:pPr>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分值</w:t>
            </w:r>
          </w:p>
        </w:tc>
        <w:tc>
          <w:tcPr>
            <w:tcW w:w="3661" w:type="dxa"/>
            <w:vAlign w:val="center"/>
          </w:tcPr>
          <w:p w14:paraId="00ADD548">
            <w:pPr>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计分标准</w:t>
            </w:r>
          </w:p>
        </w:tc>
        <w:tc>
          <w:tcPr>
            <w:tcW w:w="4537" w:type="dxa"/>
            <w:vAlign w:val="center"/>
          </w:tcPr>
          <w:p w14:paraId="4CA86A49">
            <w:pPr>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说明</w:t>
            </w:r>
          </w:p>
        </w:tc>
      </w:tr>
      <w:tr w14:paraId="4B55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27" w:hRule="atLeast"/>
          <w:jc w:val="center"/>
        </w:trPr>
        <w:tc>
          <w:tcPr>
            <w:tcW w:w="1075" w:type="dxa"/>
            <w:tcBorders>
              <w:bottom w:val="single" w:color="auto" w:sz="4" w:space="0"/>
            </w:tcBorders>
            <w:vAlign w:val="center"/>
          </w:tcPr>
          <w:p w14:paraId="2A654B22">
            <w:pPr>
              <w:rPr>
                <w:rFonts w:ascii="仿宋_GB2312" w:hAnsi="仿宋_GB2312" w:eastAsia="仿宋_GB2312" w:cs="仿宋_GB2312"/>
                <w:szCs w:val="21"/>
              </w:rPr>
            </w:pPr>
            <w:r>
              <w:rPr>
                <w:rFonts w:hint="eastAsia" w:ascii="仿宋_GB2312" w:hAnsi="仿宋_GB2312" w:eastAsia="仿宋_GB2312" w:cs="仿宋_GB2312"/>
                <w:szCs w:val="21"/>
              </w:rPr>
              <w:t>报价部分（55%）</w:t>
            </w:r>
          </w:p>
        </w:tc>
        <w:tc>
          <w:tcPr>
            <w:tcW w:w="1245" w:type="dxa"/>
            <w:tcBorders>
              <w:bottom w:val="single" w:color="auto" w:sz="4" w:space="0"/>
            </w:tcBorders>
            <w:vAlign w:val="center"/>
          </w:tcPr>
          <w:p w14:paraId="7E982CE2">
            <w:pPr>
              <w:jc w:val="center"/>
              <w:rPr>
                <w:rFonts w:ascii="仿宋_GB2312" w:hAnsi="仿宋_GB2312" w:eastAsia="仿宋_GB2312" w:cs="仿宋_GB2312"/>
                <w:szCs w:val="21"/>
              </w:rPr>
            </w:pPr>
            <w:r>
              <w:rPr>
                <w:rFonts w:hint="eastAsia" w:ascii="仿宋_GB2312" w:hAnsi="仿宋_GB2312" w:eastAsia="仿宋_GB2312" w:cs="仿宋_GB2312"/>
                <w:szCs w:val="21"/>
              </w:rPr>
              <w:t>55分</w:t>
            </w:r>
          </w:p>
        </w:tc>
        <w:tc>
          <w:tcPr>
            <w:tcW w:w="3661" w:type="dxa"/>
            <w:tcBorders>
              <w:bottom w:val="single" w:color="auto" w:sz="4" w:space="0"/>
            </w:tcBorders>
            <w:vAlign w:val="center"/>
          </w:tcPr>
          <w:p w14:paraId="65A7BD4A">
            <w:pPr>
              <w:rPr>
                <w:rFonts w:ascii="仿宋_GB2312" w:hAnsi="仿宋_GB2312" w:eastAsia="仿宋_GB2312" w:cs="仿宋_GB2312"/>
                <w:szCs w:val="21"/>
              </w:rPr>
            </w:pPr>
            <w:r>
              <w:rPr>
                <w:rFonts w:hint="eastAsia" w:ascii="仿宋_GB2312" w:hAnsi="仿宋_GB2312" w:eastAsia="仿宋_GB2312" w:cs="仿宋_GB2312"/>
                <w:szCs w:val="21"/>
              </w:rPr>
              <w:t>1.有效的投标折扣率中的最低折扣率为评标基准折扣率，按照下列公式计算每个供应商的报价得分。</w:t>
            </w:r>
          </w:p>
          <w:p w14:paraId="6CA2E400">
            <w:pPr>
              <w:rPr>
                <w:rFonts w:ascii="仿宋_GB2312" w:hAnsi="仿宋_GB2312" w:eastAsia="仿宋_GB2312" w:cs="仿宋_GB2312"/>
                <w:color w:val="FF0000"/>
                <w:szCs w:val="21"/>
              </w:rPr>
            </w:pPr>
            <w:r>
              <w:rPr>
                <w:rFonts w:hint="eastAsia" w:ascii="仿宋_GB2312" w:hAnsi="仿宋_GB2312" w:eastAsia="仿宋_GB2312" w:cs="仿宋_GB2312"/>
                <w:color w:val="FF0000"/>
                <w:szCs w:val="21"/>
              </w:rPr>
              <w:t>报价得分=</w:t>
            </w:r>
            <w:r>
              <w:rPr>
                <w:rFonts w:hint="eastAsia" w:ascii="微软雅黑" w:hAnsi="微软雅黑" w:eastAsia="微软雅黑" w:cs="微软雅黑"/>
                <w:color w:val="FF0000"/>
                <w:szCs w:val="21"/>
              </w:rPr>
              <w:t>〔</w:t>
            </w:r>
            <w:r>
              <w:rPr>
                <w:rFonts w:hint="eastAsia" w:ascii="仿宋_GB2312" w:hAnsi="仿宋_GB2312" w:eastAsia="仿宋_GB2312" w:cs="仿宋_GB2312"/>
                <w:color w:val="FF0000"/>
                <w:szCs w:val="21"/>
              </w:rPr>
              <w:t>1－（投标折扣率-评标基准折扣率）/评标基准折扣率</w:t>
            </w:r>
            <w:r>
              <w:rPr>
                <w:rFonts w:hint="eastAsia" w:ascii="微软雅黑" w:hAnsi="微软雅黑" w:eastAsia="微软雅黑" w:cs="微软雅黑"/>
                <w:color w:val="FF0000"/>
                <w:szCs w:val="21"/>
              </w:rPr>
              <w:t>〕</w:t>
            </w:r>
            <w:r>
              <w:rPr>
                <w:rFonts w:hint="eastAsia" w:ascii="仿宋_GB2312" w:hAnsi="仿宋_GB2312" w:eastAsia="仿宋_GB2312" w:cs="仿宋_GB2312"/>
                <w:color w:val="FF0000"/>
                <w:szCs w:val="21"/>
              </w:rPr>
              <w:t>×价格分值</w:t>
            </w:r>
          </w:p>
          <w:p w14:paraId="0B595AB6">
            <w:pPr>
              <w:rPr>
                <w:rFonts w:ascii="仿宋_GB2312" w:hAnsi="仿宋_GB2312" w:eastAsia="仿宋_GB2312" w:cs="仿宋_GB2312"/>
                <w:szCs w:val="21"/>
              </w:rPr>
            </w:pPr>
          </w:p>
          <w:p w14:paraId="653BBA95">
            <w:pPr>
              <w:rPr>
                <w:rFonts w:ascii="仿宋_GB2312" w:hAnsi="仿宋_GB2312" w:eastAsia="仿宋_GB2312" w:cs="仿宋_GB2312"/>
                <w:szCs w:val="21"/>
              </w:rPr>
            </w:pPr>
          </w:p>
          <w:p w14:paraId="4CD452B6">
            <w:pPr>
              <w:rPr>
                <w:rFonts w:eastAsia="仿宋_GB2312"/>
              </w:rPr>
            </w:pPr>
            <w:r>
              <w:rPr>
                <w:rFonts w:hint="eastAsia" w:ascii="仿宋_GB2312" w:hAnsi="仿宋_GB2312" w:eastAsia="仿宋_GB2312" w:cs="仿宋_GB2312"/>
                <w:szCs w:val="21"/>
              </w:rPr>
              <w:t>2.本项目报价是参选单位全部完成本采购项目所有内容的全部工作的综合报价，包括参选单位履约过程中的人工、材料、车辆使用费，搬运（含二次搬运）、保险、税金、利润及与参选单位履约本项目所需要的其他所有费用。比选人在项目结算时不再向中标人支付其他任何费用。</w:t>
            </w:r>
          </w:p>
        </w:tc>
        <w:tc>
          <w:tcPr>
            <w:tcW w:w="4537" w:type="dxa"/>
            <w:tcBorders>
              <w:bottom w:val="single" w:color="auto" w:sz="4" w:space="0"/>
            </w:tcBorders>
            <w:vAlign w:val="center"/>
          </w:tcPr>
          <w:p w14:paraId="7EDAA116">
            <w:pPr>
              <w:rPr>
                <w:rFonts w:ascii="仿宋_GB2312" w:hAnsi="仿宋_GB2312" w:eastAsia="仿宋_GB2312" w:cs="仿宋_GB2312"/>
                <w:szCs w:val="21"/>
              </w:rPr>
            </w:pPr>
            <w:r>
              <w:rPr>
                <w:rFonts w:hint="eastAsia" w:ascii="仿宋_GB2312" w:hAnsi="仿宋_GB2312" w:eastAsia="仿宋_GB2312" w:cs="仿宋_GB2312"/>
                <w:szCs w:val="21"/>
              </w:rPr>
              <w:t>1.折扣率填报说明：如某参选单位承诺，以湖南省农业农村厅发布政务信息公开《湖南主要农产品批发价格监测周报》每月初第一次发布价格为当月基准价。价格周报未包括的商品，以衡阳大型商场超市（包括但不限于香江百货、步步高超市、三泰市场等）同类商品询价价格为基础，整体给予比选人10%的价格优惠，那么该参选单位的折扣率就填0.90；折扣率最多保留小数点后2位，否则将被认定为无效折扣率。</w:t>
            </w:r>
          </w:p>
          <w:p w14:paraId="745BD652">
            <w:pPr>
              <w:rPr>
                <w:rFonts w:ascii="仿宋_GB2312" w:hAnsi="仿宋_GB2312" w:eastAsia="仿宋_GB2312" w:cs="仿宋_GB2312"/>
                <w:szCs w:val="21"/>
              </w:rPr>
            </w:pPr>
            <w:r>
              <w:rPr>
                <w:rFonts w:hint="eastAsia" w:ascii="仿宋_GB2312" w:hAnsi="仿宋_GB2312" w:eastAsia="仿宋_GB2312" w:cs="仿宋_GB2312"/>
                <w:szCs w:val="21"/>
              </w:rPr>
              <w:t>2.最低折扣率的认定：如只有A、B、C三位参选人投标，且三位参选人填报的有效折扣率分别为0.92、0.93、0.90，那么0.90在所有折扣率中最低，即为最低折扣率（评标基准折扣率）。则A参选人得分计算公式为：〔1－（0.92-0.90）/0.90〕×55=53.9</w:t>
            </w:r>
          </w:p>
          <w:p w14:paraId="0FCEB158">
            <w:pPr>
              <w:rPr>
                <w:rFonts w:ascii="仿宋_GB2312" w:hAnsi="仿宋_GB2312" w:eastAsia="仿宋_GB2312" w:cs="仿宋_GB2312"/>
                <w:szCs w:val="21"/>
              </w:rPr>
            </w:pPr>
            <w:r>
              <w:rPr>
                <w:rFonts w:hint="eastAsia" w:ascii="仿宋_GB2312" w:hAnsi="仿宋_GB2312" w:eastAsia="仿宋_GB2312" w:cs="仿宋_GB2312"/>
                <w:szCs w:val="21"/>
              </w:rPr>
              <w:t>3.供应产品为优特级，价格湖南省农业农村厅发布政务信息公开《湖南主要农产品批发价格监测周报》每月初第一次发布价格为当月基准价。价格周报未包括的商品，由比选人随机抽派2-3人在市内香江百货、步步高超市、三泰市场等地点采集信息作为基准价，按月审核结算支付。</w:t>
            </w:r>
          </w:p>
          <w:p w14:paraId="1501322A">
            <w:pPr>
              <w:rPr>
                <w:rFonts w:ascii="仿宋_GB2312" w:hAnsi="仿宋_GB2312" w:eastAsia="仿宋_GB2312" w:cs="仿宋_GB2312"/>
                <w:szCs w:val="21"/>
              </w:rPr>
            </w:pPr>
            <w:r>
              <w:rPr>
                <w:rFonts w:hint="eastAsia" w:ascii="仿宋_GB2312" w:hAnsi="仿宋_GB2312" w:eastAsia="仿宋_GB2312" w:cs="仿宋_GB2312"/>
                <w:szCs w:val="21"/>
              </w:rPr>
              <w:t>4.报价应是最终用户验收合格后的总价，包括但不限于货款、货物运输、保险、代理、培训、材料损耗和设备折旧成本、投入项目人员的工资、福利、社保等人工成本，税金及附加、销售费用、管理费用、财务费用等多种构成因素及与参选单位履约本项目所需要的其它一切费用。（基本配送频率，果蔬、生鲜肉类工作日每天一次，大米、食用油每月1-2次。）</w:t>
            </w:r>
          </w:p>
        </w:tc>
      </w:tr>
      <w:tr w14:paraId="0947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4" w:hRule="atLeast"/>
          <w:jc w:val="center"/>
        </w:trPr>
        <w:tc>
          <w:tcPr>
            <w:tcW w:w="1075" w:type="dxa"/>
            <w:vMerge w:val="restart"/>
            <w:vAlign w:val="center"/>
          </w:tcPr>
          <w:p w14:paraId="15EA5227">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服务部分（25%）</w:t>
            </w:r>
          </w:p>
        </w:tc>
        <w:tc>
          <w:tcPr>
            <w:tcW w:w="1245" w:type="dxa"/>
            <w:vAlign w:val="center"/>
          </w:tcPr>
          <w:p w14:paraId="38C38254">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服务方案（15分）</w:t>
            </w:r>
          </w:p>
        </w:tc>
        <w:tc>
          <w:tcPr>
            <w:tcW w:w="3661" w:type="dxa"/>
            <w:tcBorders>
              <w:bottom w:val="single" w:color="auto" w:sz="4" w:space="0"/>
            </w:tcBorders>
            <w:vAlign w:val="center"/>
          </w:tcPr>
          <w:p w14:paraId="5FC4DEE2">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根据参选单位提供的服务方案（包括但不限于（1）作业流程；（2）配送管理方案；（3）食品质量及安全保障方案；（4）运输保障能力；（5）应急措施；（6）售后服务及退换货方案等内容）进行综合评比。</w:t>
            </w:r>
          </w:p>
        </w:tc>
        <w:tc>
          <w:tcPr>
            <w:tcW w:w="4537" w:type="dxa"/>
            <w:vAlign w:val="center"/>
          </w:tcPr>
          <w:p w14:paraId="325FD2B0">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总体评价：</w:t>
            </w:r>
          </w:p>
          <w:p w14:paraId="6491E47E">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（1）优：实施方案全面、完善、合理，可行性和可操作性强，贴合实际需求的，具有完备的安全追溯制度，10&lt;得分≤15；</w:t>
            </w:r>
          </w:p>
          <w:p w14:paraId="43848898">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（2）良：实施方案较全面、完善，可行性和可操作性较强，具有可行的安全追溯制度，5&lt;得分≤10；</w:t>
            </w:r>
          </w:p>
          <w:p w14:paraId="4EAE77FF">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（3）中：实施方案较全面不够合理，可行性和可操作性一般，1&lt;得分≤5；</w:t>
            </w:r>
          </w:p>
          <w:p w14:paraId="1C1E08A0">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（4）差：无方案得0分。</w:t>
            </w:r>
          </w:p>
          <w:p w14:paraId="3181921C">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注：取各评审人员打分的算术平均值。</w:t>
            </w:r>
          </w:p>
        </w:tc>
      </w:tr>
      <w:tr w14:paraId="35AA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jc w:val="center"/>
        </w:trPr>
        <w:tc>
          <w:tcPr>
            <w:tcW w:w="1075" w:type="dxa"/>
            <w:vMerge w:val="continue"/>
            <w:vAlign w:val="center"/>
          </w:tcPr>
          <w:p w14:paraId="6CA13E73">
            <w:pPr>
              <w:rPr>
                <w:rFonts w:ascii="仿宋_GB2312" w:hAnsi="仿宋_GB2312" w:eastAsia="仿宋_GB2312" w:cs="仿宋_GB2312"/>
                <w:color w:val="000000"/>
                <w:szCs w:val="21"/>
              </w:rPr>
            </w:pPr>
          </w:p>
        </w:tc>
        <w:tc>
          <w:tcPr>
            <w:tcW w:w="1245" w:type="dxa"/>
            <w:vAlign w:val="center"/>
          </w:tcPr>
          <w:p w14:paraId="2C95D3EB">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食品安全（8分）</w:t>
            </w:r>
          </w:p>
        </w:tc>
        <w:tc>
          <w:tcPr>
            <w:tcW w:w="3661" w:type="dxa"/>
            <w:tcBorders>
              <w:bottom w:val="single" w:color="auto" w:sz="4" w:space="0"/>
            </w:tcBorders>
            <w:vAlign w:val="center"/>
          </w:tcPr>
          <w:p w14:paraId="6C39E974">
            <w:pPr>
              <w:numPr>
                <w:ilvl w:val="255"/>
                <w:numId w:val="0"/>
              </w:num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提供农产品的质量检测报告得2分，有动物产品的检疫合格证明得2分，有预包装产品质量合格证明得2分，有食品安全保险得2分。</w:t>
            </w:r>
          </w:p>
          <w:p w14:paraId="6ACD209B">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本项最多得8分。</w:t>
            </w:r>
          </w:p>
        </w:tc>
        <w:tc>
          <w:tcPr>
            <w:tcW w:w="4537" w:type="dxa"/>
            <w:vAlign w:val="center"/>
          </w:tcPr>
          <w:p w14:paraId="02740389">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注：</w:t>
            </w:r>
            <w:r>
              <w:rPr>
                <w:rFonts w:hint="eastAsia" w:ascii="仿宋_GB2312" w:hAnsi="仿宋_GB2312" w:eastAsia="仿宋_GB2312" w:cs="仿宋_GB2312"/>
                <w:szCs w:val="20"/>
              </w:rPr>
              <w:t>1.</w:t>
            </w:r>
            <w:r>
              <w:rPr>
                <w:rFonts w:hint="eastAsia" w:ascii="仿宋_GB2312" w:hAnsi="仿宋_GB2312" w:eastAsia="仿宋_GB2312" w:cs="仿宋_GB2312"/>
                <w:szCs w:val="20"/>
                <w:lang w:bidi="ar"/>
              </w:rPr>
              <w:t>农产品的质量检测报告、动物产品的检疫合格证明、预包装产品质量合格证明等复印件；</w:t>
            </w:r>
            <w:r>
              <w:rPr>
                <w:rFonts w:hint="eastAsia" w:ascii="仿宋_GB2312" w:hAnsi="仿宋_GB2312" w:eastAsia="仿宋_GB2312" w:cs="仿宋_GB2312"/>
                <w:color w:val="000000"/>
                <w:szCs w:val="21"/>
              </w:rPr>
              <w:t>2.食品安全保险须提供食品安全责任险保单与发票复印件。</w:t>
            </w:r>
          </w:p>
        </w:tc>
      </w:tr>
      <w:tr w14:paraId="5A66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jc w:val="center"/>
        </w:trPr>
        <w:tc>
          <w:tcPr>
            <w:tcW w:w="1075" w:type="dxa"/>
            <w:vMerge w:val="continue"/>
            <w:vAlign w:val="center"/>
          </w:tcPr>
          <w:p w14:paraId="1982CEB8">
            <w:pPr>
              <w:rPr>
                <w:rFonts w:ascii="仿宋_GB2312" w:hAnsi="仿宋_GB2312" w:eastAsia="仿宋_GB2312" w:cs="仿宋_GB2312"/>
                <w:color w:val="000000"/>
                <w:szCs w:val="21"/>
              </w:rPr>
            </w:pPr>
          </w:p>
        </w:tc>
        <w:tc>
          <w:tcPr>
            <w:tcW w:w="1245" w:type="dxa"/>
            <w:vAlign w:val="center"/>
          </w:tcPr>
          <w:p w14:paraId="53FD9325">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配备人员</w:t>
            </w:r>
          </w:p>
          <w:p w14:paraId="7D5723C7">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（2分）</w:t>
            </w:r>
          </w:p>
        </w:tc>
        <w:tc>
          <w:tcPr>
            <w:tcW w:w="3661" w:type="dxa"/>
            <w:tcBorders>
              <w:bottom w:val="single" w:color="auto" w:sz="4" w:space="0"/>
            </w:tcBorders>
            <w:vAlign w:val="center"/>
          </w:tcPr>
          <w:p w14:paraId="1C6EE3AB">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为本项目配备人员在5人以内得1分，5-10人得2分。</w:t>
            </w:r>
          </w:p>
          <w:p w14:paraId="6472BAD3">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本项最多得2分。</w:t>
            </w:r>
          </w:p>
        </w:tc>
        <w:tc>
          <w:tcPr>
            <w:tcW w:w="4537" w:type="dxa"/>
            <w:vAlign w:val="center"/>
          </w:tcPr>
          <w:p w14:paraId="19F78F84">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注：提供近6个月（2</w:t>
            </w:r>
            <w:r>
              <w:rPr>
                <w:rFonts w:ascii="仿宋_GB2312" w:hAnsi="仿宋_GB2312" w:eastAsia="仿宋_GB2312" w:cs="仿宋_GB2312"/>
                <w:color w:val="000000"/>
                <w:szCs w:val="21"/>
              </w:rPr>
              <w:t>024</w:t>
            </w:r>
            <w:r>
              <w:rPr>
                <w:rFonts w:hint="eastAsia" w:ascii="仿宋_GB2312" w:hAnsi="仿宋_GB2312" w:eastAsia="仿宋_GB2312" w:cs="仿宋_GB2312"/>
                <w:color w:val="000000"/>
                <w:szCs w:val="21"/>
              </w:rPr>
              <w:t>年6月-</w:t>
            </w:r>
            <w:r>
              <w:rPr>
                <w:rFonts w:ascii="仿宋_GB2312" w:hAnsi="仿宋_GB2312" w:eastAsia="仿宋_GB2312" w:cs="仿宋_GB2312"/>
                <w:color w:val="000000"/>
                <w:szCs w:val="21"/>
              </w:rPr>
              <w:t>11</w:t>
            </w:r>
            <w:r>
              <w:rPr>
                <w:rFonts w:hint="eastAsia" w:ascii="仿宋_GB2312" w:hAnsi="仿宋_GB2312" w:eastAsia="仿宋_GB2312" w:cs="仿宋_GB2312"/>
                <w:color w:val="000000"/>
                <w:szCs w:val="21"/>
              </w:rPr>
              <w:t>月）在投标单位购买社会保险的证明材料加盖投标人公章。材料中社保局盖章须清晰可辨。</w:t>
            </w:r>
          </w:p>
        </w:tc>
      </w:tr>
      <w:tr w14:paraId="58F9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3" w:hRule="atLeast"/>
          <w:jc w:val="center"/>
        </w:trPr>
        <w:tc>
          <w:tcPr>
            <w:tcW w:w="1075" w:type="dxa"/>
            <w:vMerge w:val="restart"/>
            <w:vAlign w:val="center"/>
          </w:tcPr>
          <w:p w14:paraId="05F98860">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商务部分（20%）</w:t>
            </w:r>
          </w:p>
        </w:tc>
        <w:tc>
          <w:tcPr>
            <w:tcW w:w="1245" w:type="dxa"/>
            <w:vAlign w:val="center"/>
          </w:tcPr>
          <w:p w14:paraId="7051B685">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货源保障能力（5分）</w:t>
            </w:r>
          </w:p>
        </w:tc>
        <w:tc>
          <w:tcPr>
            <w:tcW w:w="3661" w:type="dxa"/>
            <w:vAlign w:val="center"/>
          </w:tcPr>
          <w:p w14:paraId="0BB3A352">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1.参选单位在衡阳县市区范围内，拥有1个及以上自行购买或租赁经营场地,卫生且无影响供货质量情形的得2分。</w:t>
            </w:r>
          </w:p>
          <w:p w14:paraId="179034FF">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2.参选单位在衡阳县市区范围内，拥有1个及以上自行购买或租赁的冷冻（保鲜）库得3分。</w:t>
            </w:r>
          </w:p>
          <w:p w14:paraId="4FDCBD58">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本项最多得5分。</w:t>
            </w:r>
          </w:p>
        </w:tc>
        <w:tc>
          <w:tcPr>
            <w:tcW w:w="4537" w:type="dxa"/>
            <w:vAlign w:val="center"/>
          </w:tcPr>
          <w:p w14:paraId="0C6AC248">
            <w:pPr>
              <w:jc w:val="left"/>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注：须提供产权证件或租赁合同等佐证材料。</w:t>
            </w:r>
          </w:p>
          <w:p w14:paraId="613A0A5D">
            <w:pPr>
              <w:rPr>
                <w:rFonts w:ascii="仿宋_GB2312" w:hAnsi="仿宋_GB2312" w:eastAsia="仿宋_GB2312" w:cs="仿宋_GB2312"/>
                <w:color w:val="000000"/>
                <w:szCs w:val="21"/>
              </w:rPr>
            </w:pPr>
          </w:p>
        </w:tc>
      </w:tr>
      <w:tr w14:paraId="30CB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jc w:val="center"/>
        </w:trPr>
        <w:tc>
          <w:tcPr>
            <w:tcW w:w="1075" w:type="dxa"/>
            <w:vMerge w:val="continue"/>
            <w:vAlign w:val="center"/>
          </w:tcPr>
          <w:p w14:paraId="3369D6AC">
            <w:pPr>
              <w:rPr>
                <w:rFonts w:ascii="仿宋_GB2312" w:hAnsi="仿宋_GB2312" w:eastAsia="仿宋_GB2312" w:cs="仿宋_GB2312"/>
                <w:color w:val="000000"/>
                <w:szCs w:val="21"/>
              </w:rPr>
            </w:pPr>
          </w:p>
        </w:tc>
        <w:tc>
          <w:tcPr>
            <w:tcW w:w="1245" w:type="dxa"/>
            <w:vAlign w:val="center"/>
          </w:tcPr>
          <w:p w14:paraId="6D766561">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运输车辆</w:t>
            </w:r>
          </w:p>
          <w:p w14:paraId="76E8EF3D">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（4分）</w:t>
            </w:r>
          </w:p>
        </w:tc>
        <w:tc>
          <w:tcPr>
            <w:tcW w:w="3661" w:type="dxa"/>
            <w:vAlign w:val="center"/>
          </w:tcPr>
          <w:p w14:paraId="7A8B2741">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根据参选单位为本项目配备车辆进行评分，参选单位自有或租赁冷链车辆1台及以上得2分；参选单位自有或租赁其它配送车辆1台及以上得2分。</w:t>
            </w:r>
          </w:p>
          <w:p w14:paraId="0CAB98DD">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最多得4分。</w:t>
            </w:r>
          </w:p>
        </w:tc>
        <w:tc>
          <w:tcPr>
            <w:tcW w:w="4537" w:type="dxa"/>
            <w:vAlign w:val="center"/>
          </w:tcPr>
          <w:p w14:paraId="26AFAFA4">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注：须提供本单位自有或租赁车辆行驶证复印件或车辆登记证复印件、车辆照片、租赁合同复印件；参选单位自有车辆行驶证或登记证上标注的车辆所有人须为参选人名称。</w:t>
            </w:r>
          </w:p>
        </w:tc>
      </w:tr>
      <w:tr w14:paraId="3F4F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1075" w:type="dxa"/>
            <w:vMerge w:val="continue"/>
            <w:vAlign w:val="center"/>
          </w:tcPr>
          <w:p w14:paraId="0CADCA14">
            <w:pPr>
              <w:rPr>
                <w:rFonts w:ascii="仿宋_GB2312" w:hAnsi="仿宋_GB2312" w:eastAsia="仿宋_GB2312" w:cs="仿宋_GB2312"/>
                <w:color w:val="000000"/>
                <w:szCs w:val="21"/>
              </w:rPr>
            </w:pPr>
          </w:p>
        </w:tc>
        <w:tc>
          <w:tcPr>
            <w:tcW w:w="1245" w:type="dxa"/>
            <w:vAlign w:val="center"/>
          </w:tcPr>
          <w:p w14:paraId="16C7A504">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持续经营时间（5分）</w:t>
            </w:r>
          </w:p>
        </w:tc>
        <w:tc>
          <w:tcPr>
            <w:tcW w:w="3661" w:type="dxa"/>
            <w:vAlign w:val="center"/>
          </w:tcPr>
          <w:p w14:paraId="7BFA6B7B">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持续经营时间5年及以上的，得5分，4年以上5年以下得4分，3年以上4年以下得3分，2年以上3年以下得2分，1年及以下得1分。本项最多得5分。</w:t>
            </w:r>
          </w:p>
        </w:tc>
        <w:tc>
          <w:tcPr>
            <w:tcW w:w="4537" w:type="dxa"/>
            <w:vAlign w:val="center"/>
          </w:tcPr>
          <w:p w14:paraId="788AED84">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按营业执照登记的成立时间计算</w:t>
            </w:r>
          </w:p>
        </w:tc>
      </w:tr>
      <w:tr w14:paraId="6A09F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075" w:type="dxa"/>
            <w:vMerge w:val="continue"/>
            <w:vAlign w:val="center"/>
          </w:tcPr>
          <w:p w14:paraId="589FC0CB">
            <w:pPr>
              <w:rPr>
                <w:rFonts w:ascii="仿宋_GB2312" w:hAnsi="仿宋_GB2312" w:eastAsia="仿宋_GB2312" w:cs="仿宋_GB2312"/>
                <w:color w:val="000000"/>
                <w:szCs w:val="21"/>
              </w:rPr>
            </w:pPr>
          </w:p>
        </w:tc>
        <w:tc>
          <w:tcPr>
            <w:tcW w:w="1245" w:type="dxa"/>
            <w:vAlign w:val="center"/>
          </w:tcPr>
          <w:p w14:paraId="35358BF3">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同类业绩</w:t>
            </w:r>
          </w:p>
          <w:p w14:paraId="2F2D0262">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（6分）</w:t>
            </w:r>
          </w:p>
        </w:tc>
        <w:tc>
          <w:tcPr>
            <w:tcW w:w="3661" w:type="dxa"/>
            <w:vAlign w:val="center"/>
          </w:tcPr>
          <w:p w14:paraId="52AEC042">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每提供1个近3年内（</w:t>
            </w:r>
            <w:r>
              <w:rPr>
                <w:rFonts w:hint="eastAsia" w:ascii="仿宋_GB2312" w:hAnsi="仿宋_GB2312" w:eastAsia="仿宋_GB2312" w:cs="仿宋_GB2312"/>
                <w:color w:val="000000"/>
                <w:szCs w:val="21"/>
                <w:u w:val="single"/>
              </w:rPr>
              <w:t>2022</w:t>
            </w:r>
            <w:r>
              <w:rPr>
                <w:rFonts w:hint="eastAsia" w:ascii="仿宋_GB2312" w:hAnsi="仿宋_GB2312" w:eastAsia="仿宋_GB2312" w:cs="仿宋_GB2312"/>
                <w:color w:val="000000"/>
                <w:szCs w:val="21"/>
              </w:rPr>
              <w:t>年</w:t>
            </w:r>
            <w:r>
              <w:rPr>
                <w:rFonts w:hint="eastAsia" w:ascii="仿宋_GB2312" w:hAnsi="仿宋_GB2312" w:eastAsia="仿宋_GB2312" w:cs="仿宋_GB2312"/>
                <w:color w:val="000000"/>
                <w:szCs w:val="21"/>
                <w:u w:val="single"/>
              </w:rPr>
              <w:t>1</w:t>
            </w:r>
            <w:r>
              <w:rPr>
                <w:rFonts w:hint="eastAsia" w:ascii="仿宋_GB2312" w:hAnsi="仿宋_GB2312" w:eastAsia="仿宋_GB2312" w:cs="仿宋_GB2312"/>
                <w:color w:val="000000"/>
                <w:szCs w:val="21"/>
              </w:rPr>
              <w:t>月至</w:t>
            </w:r>
            <w:r>
              <w:rPr>
                <w:rFonts w:hint="eastAsia" w:ascii="仿宋_GB2312" w:hAnsi="仿宋_GB2312" w:eastAsia="仿宋_GB2312" w:cs="仿宋_GB2312"/>
                <w:color w:val="000000"/>
                <w:szCs w:val="21"/>
                <w:u w:val="single"/>
              </w:rPr>
              <w:t>2024</w:t>
            </w:r>
            <w:r>
              <w:rPr>
                <w:rFonts w:hint="eastAsia" w:ascii="仿宋_GB2312" w:hAnsi="仿宋_GB2312" w:eastAsia="仿宋_GB2312" w:cs="仿宋_GB2312"/>
                <w:color w:val="000000"/>
                <w:szCs w:val="21"/>
              </w:rPr>
              <w:t>年</w:t>
            </w:r>
            <w:r>
              <w:rPr>
                <w:rFonts w:hint="eastAsia" w:ascii="仿宋_GB2312" w:hAnsi="仿宋_GB2312" w:eastAsia="仿宋_GB2312" w:cs="仿宋_GB2312"/>
                <w:color w:val="000000"/>
                <w:szCs w:val="21"/>
                <w:u w:val="single"/>
              </w:rPr>
              <w:t>11</w:t>
            </w:r>
            <w:r>
              <w:rPr>
                <w:rFonts w:hint="eastAsia" w:ascii="仿宋_GB2312" w:hAnsi="仿宋_GB2312" w:eastAsia="仿宋_GB2312" w:cs="仿宋_GB2312"/>
                <w:color w:val="000000"/>
                <w:szCs w:val="21"/>
              </w:rPr>
              <w:t>月）</w:t>
            </w:r>
            <w:r>
              <w:rPr>
                <w:rFonts w:hint="eastAsia" w:ascii="仿宋_GB2312" w:hAnsi="仿宋_GB2312" w:eastAsia="仿宋_GB2312" w:cs="仿宋_GB2312"/>
                <w:color w:val="000000"/>
                <w:szCs w:val="21"/>
                <w:u w:val="single"/>
              </w:rPr>
              <w:t>的食材采购配送</w:t>
            </w:r>
            <w:r>
              <w:rPr>
                <w:rFonts w:hint="eastAsia" w:ascii="仿宋_GB2312" w:hAnsi="仿宋_GB2312" w:eastAsia="仿宋_GB2312" w:cs="仿宋_GB2312"/>
                <w:color w:val="000000"/>
                <w:szCs w:val="21"/>
              </w:rPr>
              <w:t>的单项合同金额不低于</w:t>
            </w:r>
            <w:r>
              <w:rPr>
                <w:rFonts w:ascii="仿宋_GB2312" w:hAnsi="仿宋_GB2312" w:eastAsia="仿宋_GB2312" w:cs="仿宋_GB2312"/>
                <w:color w:val="000000"/>
                <w:szCs w:val="21"/>
              </w:rPr>
              <w:t>25万元的</w:t>
            </w:r>
            <w:r>
              <w:rPr>
                <w:rFonts w:hint="eastAsia" w:ascii="仿宋_GB2312" w:hAnsi="仿宋_GB2312" w:eastAsia="仿宋_GB2312" w:cs="仿宋_GB2312"/>
                <w:color w:val="000000"/>
                <w:szCs w:val="21"/>
              </w:rPr>
              <w:t>类似项目业绩得</w:t>
            </w:r>
            <w:r>
              <w:rPr>
                <w:rFonts w:ascii="仿宋_GB2312" w:hAnsi="仿宋_GB2312" w:eastAsia="仿宋_GB2312" w:cs="仿宋_GB2312"/>
                <w:color w:val="000000"/>
                <w:szCs w:val="21"/>
              </w:rPr>
              <w:t>2</w:t>
            </w:r>
            <w:r>
              <w:rPr>
                <w:rFonts w:hint="eastAsia" w:ascii="仿宋_GB2312" w:hAnsi="仿宋_GB2312" w:eastAsia="仿宋_GB2312" w:cs="仿宋_GB2312"/>
                <w:color w:val="000000"/>
                <w:szCs w:val="21"/>
              </w:rPr>
              <w:t>分，最多得6分。</w:t>
            </w:r>
          </w:p>
          <w:p w14:paraId="53D06BE7">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类似项目业绩是指:</w:t>
            </w:r>
            <w:r>
              <w:rPr>
                <w:rFonts w:hint="eastAsia" w:ascii="仿宋_GB2312" w:hAnsi="仿宋_GB2312" w:eastAsia="仿宋_GB2312" w:cs="仿宋_GB2312"/>
                <w:color w:val="000000"/>
                <w:szCs w:val="21"/>
                <w:u w:val="single"/>
              </w:rPr>
              <w:t>参选单位提供蔬菜、水果、鲜肉、冷冻食品、副食品、海鲜、调味品、粮油、米面、日用品等类似采购配送服务</w:t>
            </w:r>
            <w:r>
              <w:rPr>
                <w:rFonts w:hint="eastAsia" w:ascii="仿宋_GB2312" w:hAnsi="仿宋_GB2312" w:eastAsia="仿宋_GB2312" w:cs="仿宋_GB2312"/>
                <w:color w:val="000000"/>
                <w:szCs w:val="21"/>
              </w:rPr>
              <w:t>。</w:t>
            </w:r>
          </w:p>
          <w:p w14:paraId="4B73679E">
            <w:pPr>
              <w:rPr>
                <w:rFonts w:ascii="仿宋_GB2312" w:hAnsi="仿宋_GB2312" w:eastAsia="仿宋_GB2312" w:cs="仿宋_GB2312"/>
                <w:color w:val="000000"/>
                <w:szCs w:val="21"/>
              </w:rPr>
            </w:pPr>
          </w:p>
        </w:tc>
        <w:tc>
          <w:tcPr>
            <w:tcW w:w="4537" w:type="dxa"/>
            <w:vAlign w:val="center"/>
          </w:tcPr>
          <w:p w14:paraId="3D8B1B1A">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注：提供完整版合同复印件加盖投标单位鲜章</w:t>
            </w:r>
          </w:p>
        </w:tc>
      </w:tr>
    </w:tbl>
    <w:p w14:paraId="00E93188">
      <w:pPr>
        <w:pStyle w:val="24"/>
        <w:rPr>
          <w:color w:val="auto"/>
        </w:rPr>
      </w:pPr>
    </w:p>
    <w:p w14:paraId="4B4A60AF">
      <w:pPr>
        <w:widowControl/>
        <w:jc w:val="left"/>
        <w:rPr>
          <w:rFonts w:ascii="Calibri" w:hAnsi="Calibri" w:eastAsia="Arial Unicode MS"/>
          <w:bCs/>
          <w:kern w:val="44"/>
          <w:sz w:val="44"/>
          <w:szCs w:val="44"/>
        </w:rPr>
      </w:pPr>
      <w:bookmarkStart w:id="0" w:name="_Toc256000013"/>
      <w:r>
        <w:rPr>
          <w:rFonts w:ascii="Calibri" w:hAnsi="Calibri" w:eastAsia="Arial Unicode MS"/>
          <w:bCs/>
          <w:kern w:val="44"/>
          <w:sz w:val="44"/>
          <w:szCs w:val="44"/>
        </w:rPr>
        <w:br w:type="page"/>
      </w:r>
    </w:p>
    <w:p w14:paraId="23113A75">
      <w:pPr>
        <w:adjustRightInd w:val="0"/>
        <w:snapToGrid w:val="0"/>
        <w:spacing w:line="560" w:lineRule="exact"/>
        <w:jc w:val="center"/>
        <w:rPr>
          <w:rFonts w:ascii="Calibri" w:hAnsi="Calibri" w:eastAsia="Arial Unicode MS"/>
          <w:bCs/>
          <w:kern w:val="44"/>
          <w:sz w:val="44"/>
          <w:szCs w:val="44"/>
        </w:rPr>
      </w:pPr>
      <w:r>
        <w:rPr>
          <w:rFonts w:hint="eastAsia" w:ascii="Calibri" w:hAnsi="Calibri" w:eastAsia="Arial Unicode MS"/>
          <w:bCs/>
          <w:kern w:val="44"/>
          <w:sz w:val="44"/>
          <w:szCs w:val="44"/>
        </w:rPr>
        <w:t>第五章  采购内容与要求</w:t>
      </w:r>
      <w:bookmarkEnd w:id="0"/>
    </w:p>
    <w:p w14:paraId="1102D4ED">
      <w:pPr>
        <w:spacing w:before="65" w:line="305" w:lineRule="auto"/>
        <w:ind w:right="292" w:firstLine="522" w:firstLineChars="200"/>
        <w:rPr>
          <w:rFonts w:ascii="仿宋_GB2312" w:hAnsi="仿宋_GB2312" w:eastAsia="仿宋_GB2312" w:cs="仿宋_GB2312"/>
          <w:sz w:val="24"/>
        </w:rPr>
      </w:pPr>
      <w:r>
        <w:rPr>
          <w:rFonts w:hint="eastAsia" w:ascii="仿宋_GB2312" w:hAnsi="仿宋_GB2312" w:eastAsia="仿宋_GB2312" w:cs="仿宋_GB2312"/>
          <w:b/>
          <w:bCs/>
          <w:spacing w:val="10"/>
          <w:sz w:val="24"/>
        </w:rPr>
        <w:t>比选人所提供的服务不仅要符合相应的国际及国内行业标准要求，还应满足本服务规范</w:t>
      </w:r>
      <w:r>
        <w:rPr>
          <w:rFonts w:hint="eastAsia" w:ascii="仿宋_GB2312" w:hAnsi="仿宋_GB2312" w:eastAsia="仿宋_GB2312" w:cs="仿宋_GB2312"/>
          <w:b/>
          <w:bCs/>
          <w:spacing w:val="14"/>
          <w:sz w:val="24"/>
        </w:rPr>
        <w:t>书中的服务要求。以下所有内容为本次公开比选的基本要求，比选人可在响应基本要求的前提</w:t>
      </w:r>
      <w:r>
        <w:rPr>
          <w:rFonts w:hint="eastAsia" w:ascii="仿宋_GB2312" w:hAnsi="仿宋_GB2312" w:eastAsia="仿宋_GB2312" w:cs="仿宋_GB2312"/>
          <w:b/>
          <w:bCs/>
          <w:spacing w:val="6"/>
          <w:sz w:val="24"/>
        </w:rPr>
        <w:t>下，优于以下标准和要求投标。</w:t>
      </w:r>
    </w:p>
    <w:p w14:paraId="3EDEDA91">
      <w:pPr>
        <w:spacing w:before="281" w:line="220" w:lineRule="auto"/>
        <w:ind w:left="3321"/>
        <w:rPr>
          <w:rFonts w:ascii="黑体" w:hAnsi="黑体" w:eastAsia="黑体" w:cs="黑体"/>
          <w:sz w:val="24"/>
        </w:rPr>
      </w:pPr>
      <w:r>
        <w:rPr>
          <w:rFonts w:hint="eastAsia" w:ascii="黑体" w:hAnsi="黑体" w:eastAsia="黑体" w:cs="黑体"/>
          <w:b/>
          <w:bCs/>
          <w:spacing w:val="-4"/>
          <w:sz w:val="24"/>
        </w:rPr>
        <w:t>第一节</w:t>
      </w:r>
      <w:r>
        <w:rPr>
          <w:rFonts w:hint="eastAsia" w:ascii="黑体" w:hAnsi="黑体" w:eastAsia="黑体" w:cs="黑体"/>
          <w:spacing w:val="-4"/>
          <w:sz w:val="24"/>
        </w:rPr>
        <w:t xml:space="preserve"> </w:t>
      </w:r>
      <w:r>
        <w:rPr>
          <w:rFonts w:hint="eastAsia" w:ascii="黑体" w:hAnsi="黑体" w:eastAsia="黑体" w:cs="黑体"/>
          <w:b/>
          <w:bCs/>
          <w:spacing w:val="-4"/>
          <w:sz w:val="24"/>
        </w:rPr>
        <w:t>服务要求</w:t>
      </w:r>
    </w:p>
    <w:p w14:paraId="543673CE">
      <w:pPr>
        <w:spacing w:before="162" w:line="227" w:lineRule="auto"/>
        <w:ind w:firstLine="506" w:firstLineChars="200"/>
        <w:rPr>
          <w:rFonts w:ascii="仿宋_GB2312" w:hAnsi="仿宋_GB2312" w:eastAsia="仿宋_GB2312" w:cs="仿宋_GB2312"/>
          <w:b/>
          <w:bCs/>
          <w:spacing w:val="7"/>
          <w:sz w:val="24"/>
        </w:rPr>
      </w:pPr>
      <w:r>
        <w:rPr>
          <w:rFonts w:hint="eastAsia" w:ascii="仿宋_GB2312" w:hAnsi="仿宋_GB2312" w:eastAsia="仿宋_GB2312" w:cs="仿宋_GB2312"/>
          <w:b/>
          <w:bCs/>
          <w:spacing w:val="6"/>
          <w:sz w:val="24"/>
        </w:rPr>
        <w:t>一</w:t>
      </w:r>
      <w:r>
        <w:rPr>
          <w:rFonts w:hint="eastAsia" w:ascii="仿宋_GB2312" w:hAnsi="仿宋_GB2312" w:eastAsia="仿宋_GB2312" w:cs="仿宋_GB2312"/>
          <w:b/>
          <w:bCs/>
          <w:spacing w:val="7"/>
          <w:sz w:val="24"/>
        </w:rPr>
        <w:t>、项目基本概况</w:t>
      </w:r>
    </w:p>
    <w:p w14:paraId="2986EBFB">
      <w:pPr>
        <w:widowControl/>
        <w:ind w:firstLine="480" w:firstLineChars="200"/>
        <w:jc w:val="left"/>
        <w:rPr>
          <w:rFonts w:ascii="仿宋_GB2312" w:hAnsi="仿宋_GB2312" w:eastAsia="仿宋_GB2312" w:cs="仿宋_GB2312"/>
          <w:sz w:val="24"/>
        </w:rPr>
      </w:pPr>
      <w:r>
        <w:rPr>
          <w:rFonts w:hint="eastAsia" w:ascii="仿宋_GB2312" w:hAnsi="仿宋_GB2312" w:eastAsia="仿宋_GB2312" w:cs="仿宋_GB2312"/>
          <w:snapToGrid w:val="0"/>
          <w:color w:val="000000"/>
          <w:kern w:val="0"/>
          <w:sz w:val="24"/>
          <w:lang w:bidi="ar"/>
        </w:rPr>
        <w:t xml:space="preserve">1、项目名称：衡阳市发展投资集团有限公司职工食堂食材采购配送服务项目 </w:t>
      </w:r>
    </w:p>
    <w:p w14:paraId="6AF58C73">
      <w:pPr>
        <w:widowControl/>
        <w:ind w:firstLine="480" w:firstLineChars="200"/>
        <w:jc w:val="left"/>
        <w:rPr>
          <w:rFonts w:ascii="仿宋_GB2312" w:hAnsi="仿宋_GB2312" w:eastAsia="仿宋_GB2312" w:cs="仿宋_GB2312"/>
          <w:sz w:val="24"/>
        </w:rPr>
      </w:pPr>
      <w:r>
        <w:rPr>
          <w:rFonts w:hint="eastAsia" w:ascii="仿宋_GB2312" w:hAnsi="仿宋_GB2312" w:eastAsia="仿宋_GB2312" w:cs="仿宋_GB2312"/>
          <w:snapToGrid w:val="0"/>
          <w:color w:val="000000"/>
          <w:kern w:val="0"/>
          <w:sz w:val="24"/>
          <w:lang w:bidi="ar"/>
        </w:rPr>
        <w:t xml:space="preserve">2、项目预算：550000元 </w:t>
      </w:r>
    </w:p>
    <w:p w14:paraId="383F313B">
      <w:pPr>
        <w:widowControl/>
        <w:ind w:firstLine="480" w:firstLineChars="200"/>
        <w:jc w:val="left"/>
        <w:rPr>
          <w:rFonts w:ascii="仿宋_GB2312" w:hAnsi="仿宋_GB2312" w:eastAsia="仿宋_GB2312" w:cs="仿宋_GB2312"/>
          <w:sz w:val="24"/>
        </w:rPr>
      </w:pPr>
      <w:r>
        <w:rPr>
          <w:rFonts w:hint="eastAsia" w:ascii="仿宋_GB2312" w:hAnsi="仿宋_GB2312" w:eastAsia="仿宋_GB2312" w:cs="仿宋_GB2312"/>
          <w:snapToGrid w:val="0"/>
          <w:color w:val="000000"/>
          <w:kern w:val="0"/>
          <w:sz w:val="24"/>
          <w:lang w:bidi="ar"/>
        </w:rPr>
        <w:t>3、服务期限：1年</w:t>
      </w:r>
    </w:p>
    <w:p w14:paraId="1124B21B">
      <w:pPr>
        <w:spacing w:before="162" w:line="227" w:lineRule="auto"/>
        <w:ind w:firstLine="506" w:firstLineChars="200"/>
        <w:rPr>
          <w:rFonts w:ascii="仿宋_GB2312" w:hAnsi="仿宋_GB2312" w:eastAsia="仿宋_GB2312" w:cs="仿宋_GB2312"/>
          <w:sz w:val="24"/>
        </w:rPr>
      </w:pPr>
      <w:r>
        <w:rPr>
          <w:rFonts w:hint="eastAsia" w:ascii="仿宋_GB2312" w:hAnsi="仿宋_GB2312" w:eastAsia="仿宋_GB2312" w:cs="仿宋_GB2312"/>
          <w:b/>
          <w:bCs/>
          <w:spacing w:val="6"/>
          <w:sz w:val="24"/>
        </w:rPr>
        <w:t>二、采购项目一览表</w:t>
      </w:r>
    </w:p>
    <w:tbl>
      <w:tblPr>
        <w:tblStyle w:val="30"/>
        <w:tblW w:w="8857"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1"/>
        <w:gridCol w:w="1976"/>
        <w:gridCol w:w="1591"/>
        <w:gridCol w:w="758"/>
        <w:gridCol w:w="1515"/>
        <w:gridCol w:w="2466"/>
      </w:tblGrid>
      <w:tr w14:paraId="5D9B2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551" w:type="dxa"/>
            <w:tcBorders>
              <w:top w:val="single" w:color="000000" w:sz="2" w:space="0"/>
              <w:left w:val="single" w:color="000000" w:sz="2" w:space="0"/>
              <w:right w:val="single" w:color="000000" w:sz="2" w:space="0"/>
            </w:tcBorders>
            <w:vAlign w:val="center"/>
          </w:tcPr>
          <w:p w14:paraId="64917829">
            <w:pPr>
              <w:pStyle w:val="31"/>
              <w:jc w:val="center"/>
              <w:rPr>
                <w:rFonts w:ascii="仿宋_GB2312" w:hAnsi="仿宋_GB2312" w:eastAsia="仿宋_GB2312" w:cs="仿宋_GB2312"/>
                <w:sz w:val="24"/>
                <w:szCs w:val="24"/>
              </w:rPr>
            </w:pPr>
            <w:r>
              <w:rPr>
                <w:rFonts w:hint="eastAsia" w:ascii="仿宋_GB2312" w:hAnsi="仿宋_GB2312" w:eastAsia="仿宋_GB2312" w:cs="仿宋_GB2312"/>
                <w:spacing w:val="5"/>
                <w:sz w:val="24"/>
                <w:szCs w:val="24"/>
              </w:rPr>
              <w:t>序号</w:t>
            </w:r>
          </w:p>
        </w:tc>
        <w:tc>
          <w:tcPr>
            <w:tcW w:w="1976" w:type="dxa"/>
            <w:tcBorders>
              <w:top w:val="single" w:color="000000" w:sz="2" w:space="0"/>
              <w:left w:val="single" w:color="000000" w:sz="2" w:space="0"/>
            </w:tcBorders>
            <w:vAlign w:val="center"/>
          </w:tcPr>
          <w:p w14:paraId="3379C93B">
            <w:pPr>
              <w:pStyle w:val="31"/>
              <w:jc w:val="center"/>
              <w:rPr>
                <w:rFonts w:ascii="仿宋_GB2312" w:hAnsi="仿宋_GB2312" w:eastAsia="仿宋_GB2312" w:cs="仿宋_GB2312"/>
                <w:sz w:val="24"/>
                <w:szCs w:val="24"/>
              </w:rPr>
            </w:pPr>
            <w:r>
              <w:rPr>
                <w:rFonts w:hint="eastAsia" w:ascii="仿宋_GB2312" w:hAnsi="仿宋_GB2312" w:eastAsia="仿宋_GB2312" w:cs="仿宋_GB2312"/>
                <w:spacing w:val="6"/>
                <w:sz w:val="24"/>
                <w:szCs w:val="24"/>
              </w:rPr>
              <w:t>名称</w:t>
            </w:r>
          </w:p>
        </w:tc>
        <w:tc>
          <w:tcPr>
            <w:tcW w:w="1591" w:type="dxa"/>
            <w:tcBorders>
              <w:top w:val="single" w:color="000000" w:sz="2" w:space="0"/>
              <w:right w:val="single" w:color="000000" w:sz="2" w:space="0"/>
            </w:tcBorders>
            <w:vAlign w:val="center"/>
          </w:tcPr>
          <w:p w14:paraId="1D062413">
            <w:pPr>
              <w:pStyle w:val="31"/>
              <w:jc w:val="center"/>
              <w:rPr>
                <w:rFonts w:ascii="仿宋_GB2312" w:hAnsi="仿宋_GB2312" w:eastAsia="仿宋_GB2312" w:cs="仿宋_GB2312"/>
                <w:sz w:val="24"/>
                <w:szCs w:val="24"/>
              </w:rPr>
            </w:pPr>
            <w:r>
              <w:rPr>
                <w:rFonts w:hint="eastAsia" w:ascii="仿宋_GB2312" w:hAnsi="仿宋_GB2312" w:eastAsia="仿宋_GB2312" w:cs="仿宋_GB2312"/>
                <w:spacing w:val="7"/>
                <w:sz w:val="24"/>
                <w:szCs w:val="24"/>
              </w:rPr>
              <w:t>简要技术要求</w:t>
            </w:r>
          </w:p>
        </w:tc>
        <w:tc>
          <w:tcPr>
            <w:tcW w:w="758" w:type="dxa"/>
            <w:tcBorders>
              <w:top w:val="single" w:color="000000" w:sz="2" w:space="0"/>
              <w:left w:val="single" w:color="000000" w:sz="2" w:space="0"/>
              <w:right w:val="single" w:color="000000" w:sz="2" w:space="0"/>
            </w:tcBorders>
            <w:vAlign w:val="center"/>
          </w:tcPr>
          <w:p w14:paraId="50649CC2">
            <w:pPr>
              <w:pStyle w:val="31"/>
              <w:jc w:val="center"/>
              <w:rPr>
                <w:rFonts w:ascii="仿宋_GB2312" w:hAnsi="仿宋_GB2312" w:eastAsia="仿宋_GB2312" w:cs="仿宋_GB2312"/>
                <w:sz w:val="24"/>
                <w:szCs w:val="24"/>
                <w:lang w:eastAsia="zh-CN"/>
              </w:rPr>
            </w:pPr>
            <w:r>
              <w:rPr>
                <w:rFonts w:hint="eastAsia" w:ascii="仿宋_GB2312" w:hAnsi="仿宋_GB2312" w:eastAsia="仿宋_GB2312" w:cs="仿宋_GB2312"/>
                <w:spacing w:val="3"/>
                <w:sz w:val="24"/>
                <w:szCs w:val="24"/>
                <w:lang w:eastAsia="zh-CN"/>
              </w:rPr>
              <w:t>期间</w:t>
            </w:r>
          </w:p>
        </w:tc>
        <w:tc>
          <w:tcPr>
            <w:tcW w:w="1515" w:type="dxa"/>
            <w:tcBorders>
              <w:top w:val="single" w:color="000000" w:sz="2" w:space="0"/>
              <w:left w:val="single" w:color="000000" w:sz="2" w:space="0"/>
              <w:right w:val="single" w:color="000000" w:sz="2" w:space="0"/>
            </w:tcBorders>
            <w:vAlign w:val="center"/>
          </w:tcPr>
          <w:p w14:paraId="29985406">
            <w:pPr>
              <w:pStyle w:val="31"/>
              <w:jc w:val="center"/>
              <w:rPr>
                <w:rFonts w:ascii="仿宋_GB2312" w:hAnsi="仿宋_GB2312" w:eastAsia="仿宋_GB2312" w:cs="仿宋_GB2312"/>
                <w:sz w:val="24"/>
                <w:szCs w:val="24"/>
              </w:rPr>
            </w:pPr>
            <w:r>
              <w:rPr>
                <w:rFonts w:hint="eastAsia" w:ascii="仿宋_GB2312" w:hAnsi="仿宋_GB2312" w:eastAsia="仿宋_GB2312" w:cs="仿宋_GB2312"/>
                <w:spacing w:val="8"/>
                <w:sz w:val="24"/>
                <w:szCs w:val="24"/>
              </w:rPr>
              <w:t>采购项目预算</w:t>
            </w:r>
            <w:r>
              <w:rPr>
                <w:rFonts w:hint="eastAsia" w:ascii="仿宋_GB2312" w:hAnsi="仿宋_GB2312" w:eastAsia="仿宋_GB2312" w:cs="仿宋_GB2312"/>
                <w:spacing w:val="5"/>
                <w:sz w:val="24"/>
                <w:szCs w:val="24"/>
              </w:rPr>
              <w:t>（元人民币）</w:t>
            </w:r>
          </w:p>
        </w:tc>
        <w:tc>
          <w:tcPr>
            <w:tcW w:w="2466" w:type="dxa"/>
            <w:tcBorders>
              <w:top w:val="single" w:color="000000" w:sz="2" w:space="0"/>
              <w:left w:val="single" w:color="000000" w:sz="2" w:space="0"/>
              <w:right w:val="single" w:color="000000" w:sz="2" w:space="0"/>
            </w:tcBorders>
            <w:vAlign w:val="center"/>
          </w:tcPr>
          <w:p w14:paraId="0800F36C">
            <w:pPr>
              <w:pStyle w:val="31"/>
              <w:jc w:val="center"/>
              <w:rPr>
                <w:rFonts w:ascii="仿宋_GB2312" w:hAnsi="仿宋_GB2312" w:eastAsia="仿宋_GB2312" w:cs="仿宋_GB2312"/>
                <w:sz w:val="24"/>
                <w:szCs w:val="24"/>
              </w:rPr>
            </w:pPr>
            <w:r>
              <w:rPr>
                <w:rFonts w:hint="eastAsia" w:ascii="仿宋_GB2312" w:hAnsi="仿宋_GB2312" w:eastAsia="仿宋_GB2312" w:cs="仿宋_GB2312"/>
                <w:spacing w:val="8"/>
                <w:sz w:val="24"/>
                <w:szCs w:val="24"/>
              </w:rPr>
              <w:t>采购项目最高</w:t>
            </w:r>
            <w:r>
              <w:rPr>
                <w:rFonts w:hint="eastAsia" w:ascii="仿宋_GB2312" w:hAnsi="仿宋_GB2312" w:eastAsia="仿宋_GB2312" w:cs="仿宋_GB2312"/>
                <w:spacing w:val="-3"/>
                <w:sz w:val="24"/>
                <w:szCs w:val="24"/>
              </w:rPr>
              <w:t>限价</w:t>
            </w:r>
          </w:p>
          <w:p w14:paraId="601113DA">
            <w:pPr>
              <w:pStyle w:val="31"/>
              <w:jc w:val="center"/>
              <w:rPr>
                <w:rFonts w:ascii="仿宋_GB2312" w:hAnsi="仿宋_GB2312" w:eastAsia="仿宋_GB2312" w:cs="仿宋_GB2312"/>
                <w:sz w:val="24"/>
                <w:szCs w:val="24"/>
              </w:rPr>
            </w:pPr>
            <w:r>
              <w:rPr>
                <w:rFonts w:hint="eastAsia" w:ascii="仿宋_GB2312" w:hAnsi="仿宋_GB2312" w:eastAsia="仿宋_GB2312" w:cs="仿宋_GB2312"/>
                <w:spacing w:val="5"/>
                <w:sz w:val="24"/>
                <w:szCs w:val="24"/>
              </w:rPr>
              <w:t>（元人民币）</w:t>
            </w:r>
          </w:p>
        </w:tc>
      </w:tr>
      <w:tr w14:paraId="22016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1" w:hRule="atLeast"/>
        </w:trPr>
        <w:tc>
          <w:tcPr>
            <w:tcW w:w="551" w:type="dxa"/>
            <w:tcBorders>
              <w:left w:val="single" w:color="000000" w:sz="2" w:space="0"/>
              <w:right w:val="single" w:color="000000" w:sz="2" w:space="0"/>
            </w:tcBorders>
            <w:vAlign w:val="center"/>
          </w:tcPr>
          <w:p w14:paraId="73BF467E">
            <w:pPr>
              <w:pStyle w:val="31"/>
              <w:jc w:val="center"/>
              <w:rPr>
                <w:rFonts w:ascii="仿宋_GB2312" w:hAnsi="仿宋_GB2312" w:eastAsia="仿宋_GB2312" w:cs="仿宋_GB2312"/>
                <w:snapToGrid w:val="0"/>
                <w:color w:val="000000"/>
                <w:kern w:val="0"/>
                <w:sz w:val="24"/>
                <w:szCs w:val="24"/>
                <w:lang w:bidi="ar"/>
              </w:rPr>
            </w:pPr>
            <w:r>
              <w:rPr>
                <w:rFonts w:hint="eastAsia" w:ascii="仿宋_GB2312" w:hAnsi="仿宋_GB2312" w:eastAsia="仿宋_GB2312" w:cs="仿宋_GB2312"/>
                <w:snapToGrid w:val="0"/>
                <w:color w:val="000000"/>
                <w:kern w:val="0"/>
                <w:sz w:val="24"/>
                <w:szCs w:val="24"/>
                <w:lang w:bidi="ar"/>
              </w:rPr>
              <w:t>1</w:t>
            </w:r>
          </w:p>
        </w:tc>
        <w:tc>
          <w:tcPr>
            <w:tcW w:w="1976" w:type="dxa"/>
            <w:tcBorders>
              <w:left w:val="single" w:color="000000" w:sz="2" w:space="0"/>
            </w:tcBorders>
            <w:vAlign w:val="center"/>
          </w:tcPr>
          <w:p w14:paraId="69DA384C">
            <w:pPr>
              <w:pStyle w:val="31"/>
              <w:jc w:val="center"/>
              <w:rPr>
                <w:rFonts w:ascii="仿宋_GB2312" w:hAnsi="仿宋_GB2312" w:eastAsia="仿宋_GB2312" w:cs="仿宋_GB2312"/>
                <w:snapToGrid w:val="0"/>
                <w:color w:val="000000"/>
                <w:kern w:val="0"/>
                <w:sz w:val="24"/>
                <w:szCs w:val="24"/>
                <w:lang w:bidi="ar"/>
              </w:rPr>
            </w:pPr>
            <w:r>
              <w:rPr>
                <w:rFonts w:hint="eastAsia" w:ascii="仿宋_GB2312" w:hAnsi="仿宋_GB2312" w:eastAsia="仿宋_GB2312" w:cs="仿宋_GB2312"/>
                <w:snapToGrid w:val="0"/>
                <w:color w:val="000000"/>
                <w:kern w:val="0"/>
                <w:sz w:val="24"/>
                <w:szCs w:val="24"/>
                <w:lang w:eastAsia="zh-CN" w:bidi="ar"/>
              </w:rPr>
              <w:t>配送发展投食堂所需食材，包括并不限于以下品种：蔬菜、水果、鲜肉、冷冻食品、副食品、海鲜、调味品、粮油、米面、日用品等</w:t>
            </w:r>
          </w:p>
        </w:tc>
        <w:tc>
          <w:tcPr>
            <w:tcW w:w="1591" w:type="dxa"/>
            <w:tcBorders>
              <w:right w:val="single" w:color="000000" w:sz="2" w:space="0"/>
            </w:tcBorders>
            <w:vAlign w:val="center"/>
          </w:tcPr>
          <w:p w14:paraId="0748231E">
            <w:pPr>
              <w:pStyle w:val="31"/>
              <w:jc w:val="center"/>
              <w:rPr>
                <w:rFonts w:ascii="仿宋_GB2312" w:hAnsi="仿宋_GB2312" w:eastAsia="仿宋_GB2312" w:cs="仿宋_GB2312"/>
                <w:snapToGrid w:val="0"/>
                <w:color w:val="000000"/>
                <w:kern w:val="0"/>
                <w:sz w:val="24"/>
                <w:szCs w:val="24"/>
                <w:lang w:bidi="ar"/>
              </w:rPr>
            </w:pPr>
            <w:r>
              <w:rPr>
                <w:rFonts w:hint="eastAsia" w:ascii="仿宋_GB2312" w:hAnsi="仿宋_GB2312" w:eastAsia="仿宋_GB2312" w:cs="仿宋_GB2312"/>
                <w:snapToGrid w:val="0"/>
                <w:color w:val="000000"/>
                <w:kern w:val="0"/>
                <w:sz w:val="24"/>
                <w:szCs w:val="24"/>
                <w:lang w:bidi="ar"/>
              </w:rPr>
              <w:t>详见采购文件</w:t>
            </w:r>
          </w:p>
        </w:tc>
        <w:tc>
          <w:tcPr>
            <w:tcW w:w="758" w:type="dxa"/>
            <w:tcBorders>
              <w:left w:val="single" w:color="000000" w:sz="2" w:space="0"/>
              <w:right w:val="single" w:color="000000" w:sz="2" w:space="0"/>
            </w:tcBorders>
            <w:vAlign w:val="center"/>
          </w:tcPr>
          <w:p w14:paraId="57D08636">
            <w:pPr>
              <w:pStyle w:val="31"/>
              <w:jc w:val="center"/>
              <w:rPr>
                <w:rFonts w:ascii="仿宋_GB2312" w:hAnsi="仿宋_GB2312" w:eastAsia="仿宋_GB2312" w:cs="仿宋_GB2312"/>
                <w:snapToGrid w:val="0"/>
                <w:color w:val="000000"/>
                <w:kern w:val="0"/>
                <w:sz w:val="24"/>
                <w:szCs w:val="24"/>
                <w:lang w:eastAsia="zh-CN" w:bidi="ar"/>
              </w:rPr>
            </w:pPr>
            <w:r>
              <w:rPr>
                <w:rFonts w:hint="eastAsia" w:ascii="仿宋_GB2312" w:hAnsi="仿宋_GB2312" w:eastAsia="仿宋_GB2312" w:cs="仿宋_GB2312"/>
                <w:snapToGrid w:val="0"/>
                <w:color w:val="000000"/>
                <w:kern w:val="0"/>
                <w:sz w:val="24"/>
                <w:szCs w:val="24"/>
                <w:lang w:bidi="ar"/>
              </w:rPr>
              <w:t xml:space="preserve">1 </w:t>
            </w:r>
            <w:r>
              <w:rPr>
                <w:rFonts w:hint="eastAsia" w:ascii="仿宋_GB2312" w:hAnsi="仿宋_GB2312" w:eastAsia="仿宋_GB2312" w:cs="仿宋_GB2312"/>
                <w:snapToGrid w:val="0"/>
                <w:color w:val="000000"/>
                <w:kern w:val="0"/>
                <w:sz w:val="24"/>
                <w:szCs w:val="24"/>
                <w:lang w:eastAsia="zh-CN" w:bidi="ar"/>
              </w:rPr>
              <w:t>年</w:t>
            </w:r>
          </w:p>
        </w:tc>
        <w:tc>
          <w:tcPr>
            <w:tcW w:w="1515" w:type="dxa"/>
            <w:tcBorders>
              <w:left w:val="single" w:color="000000" w:sz="2" w:space="0"/>
              <w:right w:val="single" w:color="000000" w:sz="2" w:space="0"/>
            </w:tcBorders>
            <w:vAlign w:val="center"/>
          </w:tcPr>
          <w:p w14:paraId="2BE7C102">
            <w:pPr>
              <w:pStyle w:val="31"/>
              <w:jc w:val="center"/>
              <w:rPr>
                <w:rFonts w:ascii="仿宋_GB2312" w:hAnsi="仿宋_GB2312" w:eastAsia="仿宋_GB2312" w:cs="仿宋_GB2312"/>
                <w:snapToGrid w:val="0"/>
                <w:color w:val="000000"/>
                <w:kern w:val="0"/>
                <w:sz w:val="24"/>
                <w:szCs w:val="24"/>
                <w:lang w:bidi="ar"/>
              </w:rPr>
            </w:pPr>
            <w:r>
              <w:rPr>
                <w:rFonts w:hint="eastAsia" w:ascii="仿宋_GB2312" w:hAnsi="仿宋_GB2312" w:eastAsia="仿宋_GB2312" w:cs="仿宋_GB2312"/>
                <w:snapToGrid w:val="0"/>
                <w:color w:val="000000"/>
                <w:kern w:val="0"/>
                <w:sz w:val="24"/>
                <w:szCs w:val="24"/>
                <w:lang w:eastAsia="zh-CN" w:bidi="ar"/>
              </w:rPr>
              <w:t>550000</w:t>
            </w:r>
          </w:p>
        </w:tc>
        <w:tc>
          <w:tcPr>
            <w:tcW w:w="2466" w:type="dxa"/>
            <w:tcBorders>
              <w:left w:val="single" w:color="000000" w:sz="2" w:space="0"/>
              <w:right w:val="single" w:color="000000" w:sz="2" w:space="0"/>
            </w:tcBorders>
            <w:vAlign w:val="center"/>
          </w:tcPr>
          <w:p w14:paraId="30DF7DE1">
            <w:pPr>
              <w:pStyle w:val="31"/>
              <w:jc w:val="center"/>
              <w:rPr>
                <w:rFonts w:ascii="仿宋_GB2312" w:hAnsi="仿宋_GB2312" w:eastAsia="仿宋_GB2312" w:cs="仿宋_GB2312"/>
                <w:snapToGrid w:val="0"/>
                <w:color w:val="000000"/>
                <w:kern w:val="0"/>
                <w:sz w:val="24"/>
                <w:szCs w:val="24"/>
                <w:lang w:bidi="ar"/>
              </w:rPr>
            </w:pPr>
            <w:r>
              <w:rPr>
                <w:rFonts w:hint="eastAsia" w:ascii="仿宋_GB2312" w:hAnsi="仿宋_GB2312" w:eastAsia="仿宋_GB2312" w:cs="仿宋_GB2312"/>
                <w:snapToGrid w:val="0"/>
                <w:color w:val="000000"/>
                <w:kern w:val="0"/>
                <w:sz w:val="24"/>
                <w:szCs w:val="24"/>
                <w:lang w:eastAsia="zh-CN" w:bidi="ar"/>
              </w:rPr>
              <w:t>550000</w:t>
            </w:r>
          </w:p>
        </w:tc>
      </w:tr>
    </w:tbl>
    <w:p w14:paraId="6A0413D7">
      <w:pPr>
        <w:spacing w:line="132" w:lineRule="exact"/>
        <w:rPr>
          <w:rFonts w:ascii="仿宋_GB2312" w:hAnsi="仿宋_GB2312" w:eastAsia="仿宋_GB2312" w:cs="仿宋_GB2312"/>
          <w:sz w:val="24"/>
        </w:rPr>
      </w:pPr>
    </w:p>
    <w:p w14:paraId="4FC444C0">
      <w:pPr>
        <w:widowControl/>
        <w:ind w:firstLine="482" w:firstLineChars="200"/>
        <w:jc w:val="left"/>
        <w:rPr>
          <w:rFonts w:ascii="仿宋_GB2312" w:hAnsi="仿宋_GB2312" w:eastAsia="仿宋_GB2312" w:cs="仿宋_GB2312"/>
          <w:sz w:val="24"/>
        </w:rPr>
      </w:pPr>
      <w:r>
        <w:rPr>
          <w:rFonts w:hint="eastAsia" w:ascii="仿宋_GB2312" w:hAnsi="仿宋_GB2312" w:eastAsia="仿宋_GB2312" w:cs="仿宋_GB2312"/>
          <w:b/>
          <w:bCs/>
          <w:snapToGrid w:val="0"/>
          <w:color w:val="000000"/>
          <w:kern w:val="0"/>
          <w:sz w:val="24"/>
          <w:lang w:bidi="ar"/>
        </w:rPr>
        <w:t>三、项目背景：</w:t>
      </w:r>
    </w:p>
    <w:p w14:paraId="07C46E66">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napToGrid w:val="0"/>
          <w:color w:val="000000"/>
          <w:kern w:val="0"/>
          <w:sz w:val="24"/>
          <w:lang w:bidi="ar"/>
        </w:rPr>
        <w:t xml:space="preserve">为确保食堂食品安全、营养及食材的配送质量,进一步规范食堂管理,现采用公开比选方式确定专业配送公司承担衡阳市发展投资集团有限公司职工食堂食材配送服务项目的统一配送，服务期限为一年。采购内容主要为蔬菜、水果、鲜肉、冷冻食品、副食品、海鲜、调味品、粮油、米面、日用品等。我公司职工食堂所供物资价格以湖南省农业农村厅发布政务信息公开《湖南主要农产品批发价格监测周报》每月初第一次发布价格为当月基准价。价格周报未包括的商品，由比选人随机抽派2-3人在市内香江百货、步步高超市、三泰市场等地点采集信息作为基准价，价格随行就市，但不得高于市场平均批发价格。所供数量和品种根据采购人提供的采购计划单来确定，确保所供物资原材料安全可靠，符合国家及地方相关行业标准。 </w:t>
      </w:r>
    </w:p>
    <w:p w14:paraId="3185162E">
      <w:pPr>
        <w:widowControl/>
        <w:spacing w:line="360" w:lineRule="auto"/>
        <w:ind w:firstLine="482" w:firstLineChars="200"/>
        <w:jc w:val="left"/>
        <w:rPr>
          <w:rFonts w:ascii="仿宋_GB2312" w:hAnsi="仿宋_GB2312" w:eastAsia="仿宋_GB2312" w:cs="仿宋_GB2312"/>
          <w:sz w:val="24"/>
        </w:rPr>
      </w:pPr>
      <w:r>
        <w:rPr>
          <w:rFonts w:hint="eastAsia" w:ascii="仿宋_GB2312" w:hAnsi="仿宋_GB2312" w:eastAsia="仿宋_GB2312" w:cs="仿宋_GB2312"/>
          <w:b/>
          <w:bCs/>
          <w:snapToGrid w:val="0"/>
          <w:color w:val="000000"/>
          <w:kern w:val="0"/>
          <w:sz w:val="24"/>
          <w:lang w:bidi="ar"/>
        </w:rPr>
        <w:t xml:space="preserve">四、执行标准 </w:t>
      </w:r>
    </w:p>
    <w:p w14:paraId="1B116CFE">
      <w:pPr>
        <w:widowControl/>
        <w:spacing w:line="360" w:lineRule="auto"/>
        <w:ind w:firstLine="480" w:firstLineChars="200"/>
        <w:jc w:val="left"/>
        <w:rPr>
          <w:rFonts w:ascii="仿宋_GB2312" w:hAnsi="仿宋_GB2312" w:eastAsia="仿宋_GB2312" w:cs="仿宋_GB2312"/>
          <w:snapToGrid w:val="0"/>
          <w:color w:val="000000"/>
          <w:kern w:val="0"/>
          <w:sz w:val="24"/>
          <w:lang w:bidi="ar"/>
        </w:rPr>
      </w:pPr>
      <w:r>
        <w:rPr>
          <w:rFonts w:hint="eastAsia" w:ascii="仿宋_GB2312" w:hAnsi="仿宋_GB2312" w:eastAsia="仿宋_GB2312" w:cs="仿宋_GB2312"/>
          <w:snapToGrid w:val="0"/>
          <w:color w:val="000000"/>
          <w:kern w:val="0"/>
          <w:sz w:val="24"/>
          <w:lang w:bidi="ar"/>
        </w:rPr>
        <w:t>《中华人民共和国食品安全法》《食品安全法实施条例》《餐饮服务食品安全监督管理办法》及其他相关食品质量安全标准。</w:t>
      </w:r>
    </w:p>
    <w:p w14:paraId="63E5CAA7">
      <w:pPr>
        <w:widowControl/>
        <w:spacing w:line="360" w:lineRule="auto"/>
        <w:ind w:firstLine="482" w:firstLineChars="200"/>
        <w:jc w:val="left"/>
        <w:rPr>
          <w:rFonts w:ascii="仿宋_GB2312" w:hAnsi="仿宋_GB2312" w:eastAsia="仿宋_GB2312" w:cs="仿宋_GB2312"/>
          <w:sz w:val="24"/>
        </w:rPr>
      </w:pPr>
      <w:r>
        <w:rPr>
          <w:rFonts w:hint="eastAsia" w:ascii="仿宋_GB2312" w:hAnsi="仿宋_GB2312" w:eastAsia="仿宋_GB2312" w:cs="仿宋_GB2312"/>
          <w:b/>
          <w:bCs/>
          <w:snapToGrid w:val="0"/>
          <w:color w:val="000000"/>
          <w:kern w:val="0"/>
          <w:sz w:val="24"/>
          <w:lang w:bidi="ar"/>
        </w:rPr>
        <w:t xml:space="preserve">五、供货范围及质量要求 </w:t>
      </w:r>
    </w:p>
    <w:p w14:paraId="0952D175">
      <w:pPr>
        <w:widowControl/>
        <w:spacing w:line="360" w:lineRule="auto"/>
        <w:ind w:firstLine="480" w:firstLineChars="200"/>
        <w:jc w:val="left"/>
        <w:rPr>
          <w:rFonts w:ascii="仿宋_GB2312" w:hAnsi="仿宋_GB2312" w:eastAsia="仿宋_GB2312" w:cs="仿宋_GB2312"/>
          <w:snapToGrid w:val="0"/>
          <w:color w:val="000000"/>
          <w:kern w:val="0"/>
          <w:sz w:val="24"/>
          <w:lang w:bidi="ar"/>
        </w:rPr>
      </w:pPr>
      <w:r>
        <w:rPr>
          <w:rFonts w:hint="eastAsia" w:ascii="仿宋_GB2312" w:hAnsi="仿宋_GB2312" w:eastAsia="仿宋_GB2312" w:cs="仿宋_GB2312"/>
          <w:snapToGrid w:val="0"/>
          <w:color w:val="000000"/>
          <w:kern w:val="0"/>
          <w:sz w:val="24"/>
          <w:lang w:bidi="ar"/>
        </w:rPr>
        <w:t xml:space="preserve">供货范围为食堂运营所需的相关物资，主要包括肉类、蔬菜等。供应商提供产品均应为正规生产的新鲜（冷冻食品除外）、检验合格、无毒无辐射产品，符合国家有关卫生、质量、包装和保质标准。要使用有效期内的产品,其中： </w:t>
      </w:r>
    </w:p>
    <w:p w14:paraId="1F8FDCB8">
      <w:pPr>
        <w:pStyle w:val="17"/>
        <w:spacing w:line="360" w:lineRule="auto"/>
        <w:ind w:left="0" w:leftChars="0" w:firstLine="480"/>
        <w:rPr>
          <w:rFonts w:ascii="仿宋_GB2312" w:hAnsi="仿宋_GB2312" w:eastAsia="仿宋_GB2312" w:cs="仿宋_GB2312"/>
          <w:sz w:val="24"/>
        </w:rPr>
      </w:pPr>
      <w:r>
        <w:rPr>
          <w:rFonts w:hint="eastAsia" w:ascii="仿宋_GB2312" w:hAnsi="仿宋_GB2312" w:eastAsia="仿宋_GB2312" w:cs="仿宋_GB2312"/>
          <w:snapToGrid w:val="0"/>
          <w:color w:val="000000"/>
          <w:sz w:val="24"/>
          <w:lang w:bidi="ar"/>
        </w:rPr>
        <w:t>（一）</w:t>
      </w:r>
      <w:r>
        <w:rPr>
          <w:rFonts w:hint="eastAsia" w:ascii="仿宋_GB2312" w:hAnsi="仿宋_GB2312" w:eastAsia="仿宋_GB2312" w:cs="仿宋_GB2312"/>
          <w:snapToGrid w:val="0"/>
          <w:color w:val="000000"/>
          <w:spacing w:val="6"/>
          <w:sz w:val="24"/>
        </w:rPr>
        <w:t>蔬菜水果类</w:t>
      </w:r>
    </w:p>
    <w:tbl>
      <w:tblPr>
        <w:tblStyle w:val="30"/>
        <w:tblW w:w="86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9"/>
        <w:gridCol w:w="885"/>
        <w:gridCol w:w="2721"/>
        <w:gridCol w:w="4489"/>
      </w:tblGrid>
      <w:tr w14:paraId="52E0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599" w:type="dxa"/>
            <w:vAlign w:val="center"/>
          </w:tcPr>
          <w:p w14:paraId="5DB81651">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序号</w:t>
            </w:r>
          </w:p>
        </w:tc>
        <w:tc>
          <w:tcPr>
            <w:tcW w:w="885" w:type="dxa"/>
            <w:vAlign w:val="center"/>
          </w:tcPr>
          <w:p w14:paraId="67184B36">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类别</w:t>
            </w:r>
          </w:p>
        </w:tc>
        <w:tc>
          <w:tcPr>
            <w:tcW w:w="2721" w:type="dxa"/>
            <w:vAlign w:val="center"/>
          </w:tcPr>
          <w:p w14:paraId="0ED30F9A">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品种名称(包括但不限于以下内容)</w:t>
            </w:r>
          </w:p>
        </w:tc>
        <w:tc>
          <w:tcPr>
            <w:tcW w:w="4489" w:type="dxa"/>
            <w:vAlign w:val="center"/>
          </w:tcPr>
          <w:p w14:paraId="2C9976C1">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标准要求</w:t>
            </w:r>
          </w:p>
        </w:tc>
      </w:tr>
      <w:tr w14:paraId="6F0B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1" w:hRule="atLeast"/>
        </w:trPr>
        <w:tc>
          <w:tcPr>
            <w:tcW w:w="599" w:type="dxa"/>
            <w:vMerge w:val="restart"/>
            <w:vAlign w:val="center"/>
          </w:tcPr>
          <w:p w14:paraId="7358E878">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1</w:t>
            </w:r>
          </w:p>
        </w:tc>
        <w:tc>
          <w:tcPr>
            <w:tcW w:w="885" w:type="dxa"/>
            <w:vMerge w:val="restart"/>
            <w:vAlign w:val="center"/>
          </w:tcPr>
          <w:p w14:paraId="56FCF94B">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蔬菜类</w:t>
            </w:r>
          </w:p>
        </w:tc>
        <w:tc>
          <w:tcPr>
            <w:tcW w:w="2721" w:type="dxa"/>
            <w:vAlign w:val="center"/>
          </w:tcPr>
          <w:p w14:paraId="13984661">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芹菜、生菜、空心菜等</w:t>
            </w:r>
          </w:p>
        </w:tc>
        <w:tc>
          <w:tcPr>
            <w:tcW w:w="4489" w:type="dxa"/>
            <w:vAlign w:val="center"/>
          </w:tcPr>
          <w:p w14:paraId="1A16FC5E">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肉质鲜嫩，形态好，色泽正常；茎基部削平；无花蕾或开花、包菜紧致，菠菜可带根：</w:t>
            </w:r>
          </w:p>
        </w:tc>
      </w:tr>
      <w:tr w14:paraId="12E8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rPr>
        <w:tc>
          <w:tcPr>
            <w:tcW w:w="599" w:type="dxa"/>
            <w:vMerge w:val="continue"/>
            <w:vAlign w:val="center"/>
          </w:tcPr>
          <w:p w14:paraId="3525846D">
            <w:pPr>
              <w:spacing w:line="440" w:lineRule="exact"/>
              <w:jc w:val="center"/>
              <w:rPr>
                <w:rFonts w:ascii="仿宋_GB2312" w:hAnsi="仿宋_GB2312" w:eastAsia="仿宋_GB2312" w:cs="仿宋_GB2312"/>
                <w:sz w:val="22"/>
                <w:szCs w:val="22"/>
              </w:rPr>
            </w:pPr>
          </w:p>
        </w:tc>
        <w:tc>
          <w:tcPr>
            <w:tcW w:w="885" w:type="dxa"/>
            <w:vMerge w:val="continue"/>
            <w:vAlign w:val="center"/>
          </w:tcPr>
          <w:p w14:paraId="252BE15E">
            <w:pPr>
              <w:spacing w:line="440" w:lineRule="exact"/>
              <w:jc w:val="center"/>
              <w:rPr>
                <w:rFonts w:ascii="仿宋_GB2312" w:hAnsi="仿宋_GB2312" w:eastAsia="仿宋_GB2312" w:cs="仿宋_GB2312"/>
                <w:sz w:val="22"/>
                <w:szCs w:val="22"/>
              </w:rPr>
            </w:pPr>
          </w:p>
        </w:tc>
        <w:tc>
          <w:tcPr>
            <w:tcW w:w="2721" w:type="dxa"/>
            <w:vAlign w:val="center"/>
          </w:tcPr>
          <w:p w14:paraId="2AFAE8EF">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红萝卜、白萝卜、洋葱等</w:t>
            </w:r>
          </w:p>
        </w:tc>
        <w:tc>
          <w:tcPr>
            <w:tcW w:w="4489" w:type="dxa"/>
            <w:vAlign w:val="center"/>
          </w:tcPr>
          <w:p w14:paraId="1639952A">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表面光滑、条直匀称，粗壮、碛实， 肉质甜脆</w:t>
            </w:r>
          </w:p>
        </w:tc>
      </w:tr>
      <w:tr w14:paraId="156E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99" w:type="dxa"/>
            <w:vMerge w:val="continue"/>
            <w:vAlign w:val="center"/>
          </w:tcPr>
          <w:p w14:paraId="12B8FFF1">
            <w:pPr>
              <w:spacing w:line="440" w:lineRule="exact"/>
              <w:jc w:val="center"/>
              <w:rPr>
                <w:rFonts w:ascii="仿宋_GB2312" w:hAnsi="仿宋_GB2312" w:eastAsia="仿宋_GB2312" w:cs="仿宋_GB2312"/>
                <w:sz w:val="22"/>
                <w:szCs w:val="22"/>
              </w:rPr>
            </w:pPr>
          </w:p>
        </w:tc>
        <w:tc>
          <w:tcPr>
            <w:tcW w:w="885" w:type="dxa"/>
            <w:vMerge w:val="continue"/>
            <w:vAlign w:val="center"/>
          </w:tcPr>
          <w:p w14:paraId="475C1CAC">
            <w:pPr>
              <w:spacing w:line="440" w:lineRule="exact"/>
              <w:jc w:val="center"/>
              <w:rPr>
                <w:rFonts w:ascii="仿宋_GB2312" w:hAnsi="仿宋_GB2312" w:eastAsia="仿宋_GB2312" w:cs="仿宋_GB2312"/>
                <w:sz w:val="22"/>
                <w:szCs w:val="22"/>
              </w:rPr>
            </w:pPr>
          </w:p>
        </w:tc>
        <w:tc>
          <w:tcPr>
            <w:tcW w:w="2721" w:type="dxa"/>
            <w:vAlign w:val="center"/>
          </w:tcPr>
          <w:p w14:paraId="2485B9B0">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冬瓜、南瓜、丝瓜、苦瓜、黄瓜等</w:t>
            </w:r>
          </w:p>
        </w:tc>
        <w:tc>
          <w:tcPr>
            <w:tcW w:w="4489" w:type="dxa"/>
            <w:vAlign w:val="center"/>
          </w:tcPr>
          <w:p w14:paraId="5AD9E2BB">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颜色淡绿色，有光泽，有一定硬度，无弹性，皮薄，肉洁白鲜嫩，瓜形周正，无断裂、划伤、软烂、干皱、畸形</w:t>
            </w:r>
          </w:p>
        </w:tc>
      </w:tr>
      <w:tr w14:paraId="3BE0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7" w:hRule="atLeast"/>
        </w:trPr>
        <w:tc>
          <w:tcPr>
            <w:tcW w:w="599" w:type="dxa"/>
            <w:vMerge w:val="continue"/>
            <w:vAlign w:val="center"/>
          </w:tcPr>
          <w:p w14:paraId="3159567E">
            <w:pPr>
              <w:spacing w:line="440" w:lineRule="exact"/>
              <w:jc w:val="center"/>
              <w:rPr>
                <w:rFonts w:ascii="仿宋_GB2312" w:hAnsi="仿宋_GB2312" w:eastAsia="仿宋_GB2312" w:cs="仿宋_GB2312"/>
                <w:sz w:val="22"/>
                <w:szCs w:val="22"/>
              </w:rPr>
            </w:pPr>
          </w:p>
        </w:tc>
        <w:tc>
          <w:tcPr>
            <w:tcW w:w="885" w:type="dxa"/>
            <w:vMerge w:val="continue"/>
            <w:vAlign w:val="center"/>
          </w:tcPr>
          <w:p w14:paraId="6CB1C6F1">
            <w:pPr>
              <w:spacing w:line="440" w:lineRule="exact"/>
              <w:jc w:val="center"/>
              <w:rPr>
                <w:rFonts w:ascii="仿宋_GB2312" w:hAnsi="仿宋_GB2312" w:eastAsia="仿宋_GB2312" w:cs="仿宋_GB2312"/>
                <w:sz w:val="22"/>
                <w:szCs w:val="22"/>
              </w:rPr>
            </w:pPr>
          </w:p>
        </w:tc>
        <w:tc>
          <w:tcPr>
            <w:tcW w:w="2721" w:type="dxa"/>
            <w:vAlign w:val="center"/>
          </w:tcPr>
          <w:p w14:paraId="673B45DF">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番茄、青椒等</w:t>
            </w:r>
          </w:p>
        </w:tc>
        <w:tc>
          <w:tcPr>
            <w:tcW w:w="4489" w:type="dxa"/>
            <w:vAlign w:val="center"/>
          </w:tcPr>
          <w:p w14:paraId="0FBBD853">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色正，有光泽，表面光滑，饱满有一定硬度及弹性，无腐烂、干尖、皱纹、断裂、于软、泥土整齐，无烂果、异味、病虫和明显机械损伤。</w:t>
            </w:r>
          </w:p>
        </w:tc>
      </w:tr>
      <w:tr w14:paraId="4DFE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2" w:hRule="atLeast"/>
        </w:trPr>
        <w:tc>
          <w:tcPr>
            <w:tcW w:w="599" w:type="dxa"/>
            <w:vMerge w:val="continue"/>
            <w:vAlign w:val="center"/>
          </w:tcPr>
          <w:p w14:paraId="713E20F8">
            <w:pPr>
              <w:spacing w:line="440" w:lineRule="exact"/>
              <w:jc w:val="center"/>
              <w:rPr>
                <w:rFonts w:ascii="仿宋_GB2312" w:hAnsi="仿宋_GB2312" w:eastAsia="仿宋_GB2312" w:cs="仿宋_GB2312"/>
                <w:sz w:val="22"/>
                <w:szCs w:val="22"/>
              </w:rPr>
            </w:pPr>
          </w:p>
        </w:tc>
        <w:tc>
          <w:tcPr>
            <w:tcW w:w="885" w:type="dxa"/>
            <w:vMerge w:val="continue"/>
            <w:vAlign w:val="center"/>
          </w:tcPr>
          <w:p w14:paraId="4377AF42">
            <w:pPr>
              <w:spacing w:line="440" w:lineRule="exact"/>
              <w:jc w:val="center"/>
              <w:rPr>
                <w:rFonts w:ascii="仿宋_GB2312" w:hAnsi="仿宋_GB2312" w:eastAsia="仿宋_GB2312" w:cs="仿宋_GB2312"/>
                <w:sz w:val="22"/>
                <w:szCs w:val="22"/>
              </w:rPr>
            </w:pPr>
          </w:p>
        </w:tc>
        <w:tc>
          <w:tcPr>
            <w:tcW w:w="2721" w:type="dxa"/>
            <w:vAlign w:val="center"/>
          </w:tcPr>
          <w:p w14:paraId="00741A81">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酸豆角、酸萝卜、酸辣椒等</w:t>
            </w:r>
          </w:p>
        </w:tc>
        <w:tc>
          <w:tcPr>
            <w:tcW w:w="4489" w:type="dxa"/>
            <w:vAlign w:val="center"/>
          </w:tcPr>
          <w:p w14:paraId="49B7E6B1">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无腐烂、无烂果、异味、病虫和明显机械损伤。</w:t>
            </w:r>
          </w:p>
        </w:tc>
      </w:tr>
      <w:tr w14:paraId="58B21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5" w:hRule="atLeast"/>
        </w:trPr>
        <w:tc>
          <w:tcPr>
            <w:tcW w:w="599" w:type="dxa"/>
            <w:tcBorders>
              <w:top w:val="single" w:color="auto" w:sz="4" w:space="0"/>
              <w:left w:val="single" w:color="000000" w:sz="6" w:space="0"/>
            </w:tcBorders>
            <w:vAlign w:val="center"/>
          </w:tcPr>
          <w:p w14:paraId="54DF136B">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2</w:t>
            </w:r>
          </w:p>
        </w:tc>
        <w:tc>
          <w:tcPr>
            <w:tcW w:w="885" w:type="dxa"/>
            <w:tcBorders>
              <w:top w:val="single" w:color="auto" w:sz="4" w:space="0"/>
            </w:tcBorders>
            <w:vAlign w:val="center"/>
          </w:tcPr>
          <w:p w14:paraId="59CBA6FD">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水果类</w:t>
            </w:r>
          </w:p>
        </w:tc>
        <w:tc>
          <w:tcPr>
            <w:tcW w:w="2721" w:type="dxa"/>
            <w:tcBorders>
              <w:top w:val="single" w:color="auto" w:sz="4" w:space="0"/>
              <w:left w:val="single" w:color="auto" w:sz="4" w:space="0"/>
              <w:right w:val="single" w:color="auto" w:sz="4" w:space="0"/>
            </w:tcBorders>
            <w:vAlign w:val="center"/>
          </w:tcPr>
          <w:p w14:paraId="448475A6">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西瓜、香蕉、龙眼、橙子、苹果、香梨、橘子、沃柑、青枣、千禧果等</w:t>
            </w:r>
          </w:p>
        </w:tc>
        <w:tc>
          <w:tcPr>
            <w:tcW w:w="4489" w:type="dxa"/>
            <w:tcBorders>
              <w:top w:val="single" w:color="auto" w:sz="4" w:space="0"/>
              <w:left w:val="single" w:color="auto" w:sz="4" w:space="0"/>
              <w:right w:val="single" w:color="auto" w:sz="4" w:space="0"/>
            </w:tcBorders>
            <w:vAlign w:val="center"/>
          </w:tcPr>
          <w:p w14:paraId="67008417">
            <w:pPr>
              <w:widowControl/>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新鲜、无腐烂、农药残留等，符合《食品安全法》要求。</w:t>
            </w:r>
          </w:p>
        </w:tc>
      </w:tr>
    </w:tbl>
    <w:p w14:paraId="1A1C1380">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 xml:space="preserve">1.蔬菜、水果 </w:t>
      </w:r>
    </w:p>
    <w:p w14:paraId="69FE1120">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 xml:space="preserve">1.1具体配送要求: </w:t>
      </w:r>
    </w:p>
    <w:p w14:paraId="107CA4E1">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(1)以上蔬菜品种为常规采购品种，不排除有采购所列品种之外蔬菜的可能，若采购其他品种蔬菜，需满足采购人实际需求；</w:t>
      </w:r>
    </w:p>
    <w:p w14:paraId="13572BEB">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(2)所供蔬菜的规格大小满足采购人实际需求；</w:t>
      </w:r>
    </w:p>
    <w:p w14:paraId="7868304C">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 xml:space="preserve">(3)基本要求：大小均匀，颜色自然有光泽，质地鲜嫩纯净，饱满清洁，不枯萎、干瘪、苍老等，无病斑、虫蚀、发霉、变色、异味、淤泥、杂质和滴水现象，无污染、残缺、变质等；原产地分类预包装，整齐统一；提供有害物质残留 检测报告。 </w:t>
      </w:r>
    </w:p>
    <w:p w14:paraId="1A92D926">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 xml:space="preserve">1.2安全卫生要求： </w:t>
      </w:r>
    </w:p>
    <w:p w14:paraId="18DA8C96">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 xml:space="preserve">(1)中华人民共和国进出口商品检验法及其实施条例； </w:t>
      </w:r>
    </w:p>
    <w:p w14:paraId="09494C3F">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 xml:space="preserve">(2)中华人民共和国动植物检疫法及其实施条例； </w:t>
      </w:r>
    </w:p>
    <w:p w14:paraId="12392D97">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 xml:space="preserve">(3)污染物残留限量指标应符合《食品安全国家标准食品中污染物限量》GB2762-2017要求； </w:t>
      </w:r>
    </w:p>
    <w:p w14:paraId="7E931310">
      <w:pPr>
        <w:widowControl/>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(4)农药残留限量指标应符合《食品中农药的最大残留限量》GB2763-2021要求；</w:t>
      </w:r>
    </w:p>
    <w:p w14:paraId="163B7349">
      <w:pPr>
        <w:spacing w:before="78" w:line="360" w:lineRule="auto"/>
        <w:ind w:firstLine="480" w:firstLineChars="200"/>
        <w:rPr>
          <w:rFonts w:ascii="仿宋_GB2312" w:hAnsi="仿宋_GB2312" w:eastAsia="仿宋_GB2312" w:cs="仿宋_GB2312"/>
          <w:spacing w:val="8"/>
          <w:sz w:val="24"/>
        </w:rPr>
      </w:pPr>
      <w:r>
        <w:rPr>
          <w:rFonts w:hint="eastAsia" w:ascii="仿宋_GB2312" w:hAnsi="仿宋_GB2312" w:eastAsia="仿宋_GB2312" w:cs="仿宋_GB2312"/>
          <w:sz w:val="24"/>
        </w:rPr>
        <w:t>(5)</w:t>
      </w:r>
      <w:r>
        <w:rPr>
          <w:rFonts w:hint="eastAsia" w:ascii="仿宋_GB2312" w:hAnsi="仿宋_GB2312" w:eastAsia="仿宋_GB2312" w:cs="仿宋_GB2312"/>
          <w:spacing w:val="8"/>
          <w:sz w:val="24"/>
        </w:rPr>
        <w:t>供应商所提供的产品必须符合食品安全法和食品安全国家标准。</w:t>
      </w:r>
    </w:p>
    <w:p w14:paraId="7181681E">
      <w:pPr>
        <w:pStyle w:val="17"/>
        <w:spacing w:line="360" w:lineRule="auto"/>
        <w:ind w:left="0" w:leftChars="0" w:firstLine="504"/>
        <w:rPr>
          <w:rFonts w:ascii="仿宋_GB2312" w:hAnsi="仿宋_GB2312" w:eastAsia="仿宋_GB2312" w:cs="仿宋_GB2312"/>
          <w:sz w:val="24"/>
        </w:rPr>
      </w:pPr>
      <w:r>
        <w:rPr>
          <w:rFonts w:hint="eastAsia" w:ascii="仿宋_GB2312" w:hAnsi="仿宋_GB2312" w:eastAsia="仿宋_GB2312" w:cs="仿宋_GB2312"/>
          <w:snapToGrid w:val="0"/>
          <w:color w:val="000000"/>
          <w:spacing w:val="6"/>
          <w:sz w:val="24"/>
        </w:rPr>
        <w:t>（二）</w:t>
      </w:r>
      <w:r>
        <w:rPr>
          <w:rFonts w:hint="eastAsia" w:ascii="仿宋_GB2312" w:hAnsi="仿宋_GB2312" w:eastAsia="仿宋_GB2312" w:cs="仿宋_GB2312"/>
          <w:snapToGrid w:val="0"/>
          <w:color w:val="000000"/>
          <w:spacing w:val="8"/>
          <w:sz w:val="24"/>
        </w:rPr>
        <w:t>鲜肉、牛羊肉类</w:t>
      </w:r>
    </w:p>
    <w:tbl>
      <w:tblPr>
        <w:tblStyle w:val="30"/>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9"/>
        <w:gridCol w:w="885"/>
        <w:gridCol w:w="2526"/>
        <w:gridCol w:w="4684"/>
      </w:tblGrid>
      <w:tr w14:paraId="4BE1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599" w:type="dxa"/>
            <w:vAlign w:val="center"/>
          </w:tcPr>
          <w:p w14:paraId="0DE5DE1B">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序号</w:t>
            </w:r>
          </w:p>
        </w:tc>
        <w:tc>
          <w:tcPr>
            <w:tcW w:w="885" w:type="dxa"/>
            <w:vAlign w:val="center"/>
          </w:tcPr>
          <w:p w14:paraId="4524A6B2">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类别</w:t>
            </w:r>
          </w:p>
        </w:tc>
        <w:tc>
          <w:tcPr>
            <w:tcW w:w="2526" w:type="dxa"/>
            <w:vAlign w:val="center"/>
          </w:tcPr>
          <w:p w14:paraId="69BEFC8B">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品种名称(包括但不限于以下内容)</w:t>
            </w:r>
          </w:p>
        </w:tc>
        <w:tc>
          <w:tcPr>
            <w:tcW w:w="4684" w:type="dxa"/>
            <w:vAlign w:val="center"/>
          </w:tcPr>
          <w:p w14:paraId="2B31EE6A">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标准要求</w:t>
            </w:r>
          </w:p>
        </w:tc>
      </w:tr>
      <w:tr w14:paraId="17484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599" w:type="dxa"/>
            <w:tcBorders>
              <w:left w:val="single" w:color="000000" w:sz="6" w:space="0"/>
            </w:tcBorders>
            <w:vAlign w:val="center"/>
          </w:tcPr>
          <w:p w14:paraId="050EF704">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1</w:t>
            </w:r>
          </w:p>
        </w:tc>
        <w:tc>
          <w:tcPr>
            <w:tcW w:w="885" w:type="dxa"/>
            <w:vAlign w:val="center"/>
          </w:tcPr>
          <w:p w14:paraId="5C2E3C56">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鲜肉类</w:t>
            </w:r>
          </w:p>
        </w:tc>
        <w:tc>
          <w:tcPr>
            <w:tcW w:w="2526" w:type="dxa"/>
            <w:vAlign w:val="center"/>
          </w:tcPr>
          <w:p w14:paraId="382F2C78">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新鲜猪肉等</w:t>
            </w:r>
          </w:p>
        </w:tc>
        <w:tc>
          <w:tcPr>
            <w:tcW w:w="4684" w:type="dxa"/>
            <w:tcBorders>
              <w:right w:val="single" w:color="000000" w:sz="6" w:space="0"/>
            </w:tcBorders>
            <w:vAlign w:val="center"/>
          </w:tcPr>
          <w:p w14:paraId="05F08441">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1、肉类符合GB2707、GB2762、GB2763国家标准；</w:t>
            </w:r>
          </w:p>
          <w:p w14:paraId="22C56654">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2、生禽等定点、当日屠宰，同时屠宰证(猪肉类必须提供) 齐全，提供动物检验检疫合格证明，来自非疫区；</w:t>
            </w:r>
          </w:p>
          <w:p w14:paraId="7121B99B">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3、肉制品，具有动物检验检疫合格证明、“QS”或“SC”食 品质量认证标志，来自非疫区；</w:t>
            </w:r>
          </w:p>
          <w:p w14:paraId="1CC3912B">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4、符合《冷鲜禽加工经营卫生规范》要求及符合GB2707、GB2762、 GB2763 标准。</w:t>
            </w:r>
          </w:p>
        </w:tc>
      </w:tr>
      <w:tr w14:paraId="2BE3F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599" w:type="dxa"/>
            <w:tcBorders>
              <w:left w:val="single" w:color="000000" w:sz="6" w:space="0"/>
              <w:bottom w:val="single" w:color="auto" w:sz="4" w:space="0"/>
            </w:tcBorders>
            <w:vAlign w:val="center"/>
          </w:tcPr>
          <w:p w14:paraId="6FC7E002">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2</w:t>
            </w:r>
          </w:p>
        </w:tc>
        <w:tc>
          <w:tcPr>
            <w:tcW w:w="885" w:type="dxa"/>
            <w:tcBorders>
              <w:bottom w:val="single" w:color="auto" w:sz="4" w:space="0"/>
            </w:tcBorders>
            <w:vAlign w:val="center"/>
          </w:tcPr>
          <w:p w14:paraId="647333E5">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牛羊肉类</w:t>
            </w:r>
          </w:p>
        </w:tc>
        <w:tc>
          <w:tcPr>
            <w:tcW w:w="2526" w:type="dxa"/>
            <w:tcBorders>
              <w:bottom w:val="single" w:color="auto" w:sz="4" w:space="0"/>
            </w:tcBorders>
            <w:vAlign w:val="center"/>
          </w:tcPr>
          <w:p w14:paraId="56346E27">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牛肉、羊肉、及其副产品、相关加工产品、冻货产品等</w:t>
            </w:r>
          </w:p>
        </w:tc>
        <w:tc>
          <w:tcPr>
            <w:tcW w:w="4684" w:type="dxa"/>
            <w:tcBorders>
              <w:right w:val="single" w:color="000000" w:sz="6" w:space="0"/>
            </w:tcBorders>
            <w:vAlign w:val="center"/>
          </w:tcPr>
          <w:p w14:paraId="30F5FC70">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1、肉类符合GB2707、GB2762、GB2763国家标准；</w:t>
            </w:r>
          </w:p>
          <w:p w14:paraId="7CEA3846">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2、生禽等定点、当日屠宰，同时屠宰证(肉类必须提供)齐全，提供动物检验检疫合格证明，来自非疫区；</w:t>
            </w:r>
          </w:p>
          <w:p w14:paraId="5B293597">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3、肉制品，具有动物检验检疫合格证明、“QS”或“SC”食品质量认证标志，来自非疫区；</w:t>
            </w:r>
          </w:p>
          <w:p w14:paraId="2730E820">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4、符合《冷鲜禽加工经营卫生规范》要求及符合GB2707、GB2762、GB2763 标准。</w:t>
            </w:r>
          </w:p>
        </w:tc>
      </w:tr>
    </w:tbl>
    <w:p w14:paraId="0803E189">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1.1具体配送要求：</w:t>
      </w:r>
    </w:p>
    <w:p w14:paraId="5C3BC886">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(1)采购人按需采购肉类，中选人必须满足采购人实际需求；</w:t>
      </w:r>
    </w:p>
    <w:p w14:paraId="0896B88C">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(2)鲜肉品质量要求：新鲜(当天12小时内屠宰)、新鲜肉，不注水，肉上有屠宰场经质量检验合格的滚花，提供所供当批次的动物检疫和肉的肉品品质检验合格证；</w:t>
      </w:r>
    </w:p>
    <w:p w14:paraId="2DAE9452">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(3)鲜肉外观质量要求：新鲜，感官检验、化学检验均符合要求；</w:t>
      </w:r>
    </w:p>
    <w:p w14:paraId="46903498">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(4)中选人的所供货物不得以次充好，不得将病死、残剩肉、老母猪肉、臭蛋等不合格品掺杂其中，一经发现，取消其供货资格，并承担由此造成的一切后果，如构成违法，将依法追求其法律责任。</w:t>
      </w:r>
    </w:p>
    <w:p w14:paraId="1DE7DD4B">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1.2安全卫生要求：</w:t>
      </w:r>
    </w:p>
    <w:p w14:paraId="4C2F5E33">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(1)《中华人民共和国进出口商品检验法及其实施条例》；</w:t>
      </w:r>
    </w:p>
    <w:p w14:paraId="705D8608">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(2)《中华人民共和国动植物检疫法及其实施条例》；</w:t>
      </w:r>
    </w:p>
    <w:p w14:paraId="7F1229F5">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(3)《中华人民共和国动物防疫法》；</w:t>
      </w:r>
    </w:p>
    <w:p w14:paraId="23134D53">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(4)《食品安全国家标准鲜(冻)畜、禽产品》 GB2707-2016；</w:t>
      </w:r>
    </w:p>
    <w:p w14:paraId="206C2A9C">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(5)《食品安全国家标准食品中农药最大残留限量》 GB2763-2021；</w:t>
      </w:r>
    </w:p>
    <w:p w14:paraId="039D025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(6)《食品安全国家标准食品中污染物限量》 GB2762-2017；</w:t>
      </w:r>
    </w:p>
    <w:p w14:paraId="0E48B88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(7)其他可能适用于本招标文件内容的相关法律法规或质量标准。</w:t>
      </w:r>
    </w:p>
    <w:p w14:paraId="4D90618D">
      <w:pPr>
        <w:spacing w:line="480" w:lineRule="exact"/>
        <w:ind w:firstLine="480" w:firstLineChars="200"/>
        <w:rPr>
          <w:rFonts w:ascii="仿宋_GB2312" w:hAnsi="仿宋_GB2312" w:eastAsia="仿宋_GB2312" w:cs="仿宋_GB2312"/>
          <w:snapToGrid w:val="0"/>
          <w:kern w:val="0"/>
          <w:sz w:val="24"/>
        </w:rPr>
      </w:pPr>
      <w:r>
        <w:rPr>
          <w:rFonts w:hint="eastAsia" w:ascii="仿宋_GB2312" w:hAnsi="仿宋_GB2312" w:eastAsia="仿宋_GB2312" w:cs="仿宋_GB2312"/>
          <w:snapToGrid w:val="0"/>
          <w:kern w:val="0"/>
          <w:sz w:val="24"/>
        </w:rPr>
        <w:t>（三）家禽类、水产、冻货等</w:t>
      </w:r>
    </w:p>
    <w:tbl>
      <w:tblPr>
        <w:tblStyle w:val="30"/>
        <w:tblW w:w="86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9"/>
        <w:gridCol w:w="885"/>
        <w:gridCol w:w="2721"/>
        <w:gridCol w:w="4489"/>
      </w:tblGrid>
      <w:tr w14:paraId="5931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599" w:type="dxa"/>
            <w:vAlign w:val="center"/>
          </w:tcPr>
          <w:p w14:paraId="706D80D7">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序号</w:t>
            </w:r>
          </w:p>
        </w:tc>
        <w:tc>
          <w:tcPr>
            <w:tcW w:w="885" w:type="dxa"/>
            <w:vAlign w:val="center"/>
          </w:tcPr>
          <w:p w14:paraId="050C39D5">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类别</w:t>
            </w:r>
          </w:p>
        </w:tc>
        <w:tc>
          <w:tcPr>
            <w:tcW w:w="2721" w:type="dxa"/>
            <w:vAlign w:val="center"/>
          </w:tcPr>
          <w:p w14:paraId="53A7E43A">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品种名称(包括但不限于以下内容)</w:t>
            </w:r>
          </w:p>
        </w:tc>
        <w:tc>
          <w:tcPr>
            <w:tcW w:w="4489" w:type="dxa"/>
            <w:vAlign w:val="center"/>
          </w:tcPr>
          <w:p w14:paraId="42D46D82">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标准要求</w:t>
            </w:r>
          </w:p>
        </w:tc>
      </w:tr>
      <w:tr w14:paraId="60AA7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99" w:type="dxa"/>
            <w:tcBorders>
              <w:left w:val="single" w:color="000000" w:sz="6" w:space="0"/>
              <w:bottom w:val="single" w:color="auto" w:sz="4" w:space="0"/>
            </w:tcBorders>
            <w:vAlign w:val="center"/>
          </w:tcPr>
          <w:p w14:paraId="0257EE60">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1</w:t>
            </w:r>
          </w:p>
        </w:tc>
        <w:tc>
          <w:tcPr>
            <w:tcW w:w="885" w:type="dxa"/>
            <w:tcBorders>
              <w:bottom w:val="single" w:color="auto" w:sz="4" w:space="0"/>
            </w:tcBorders>
            <w:vAlign w:val="center"/>
          </w:tcPr>
          <w:p w14:paraId="39CDC422">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家禽类</w:t>
            </w:r>
          </w:p>
        </w:tc>
        <w:tc>
          <w:tcPr>
            <w:tcW w:w="2721" w:type="dxa"/>
            <w:tcBorders>
              <w:bottom w:val="single" w:color="auto" w:sz="4" w:space="0"/>
            </w:tcBorders>
            <w:vAlign w:val="center"/>
          </w:tcPr>
          <w:p w14:paraId="6C7AC20C">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鸡肉、鸭肉及其副产品、相关加工产品、冻货产品、活禽等</w:t>
            </w:r>
          </w:p>
        </w:tc>
        <w:tc>
          <w:tcPr>
            <w:tcW w:w="4489" w:type="dxa"/>
            <w:tcBorders>
              <w:right w:val="single" w:color="000000" w:sz="6" w:space="0"/>
            </w:tcBorders>
            <w:vAlign w:val="center"/>
          </w:tcPr>
          <w:p w14:paraId="43C94B2F">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1、肉类符合GB2707、GB2762、GB2763国家标准；</w:t>
            </w:r>
          </w:p>
          <w:p w14:paraId="7EEB1648">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2、生禽等定点、当日屠宰，同时屠宰证(猪肉类必须提供) 齐全，提供动物检验检疫合格证明，来自非疫区；</w:t>
            </w:r>
          </w:p>
          <w:p w14:paraId="7ADE6522">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3、肉制品，具有动物检验检疫合格证明、“QS”或“SC”食 品质量认证标志，来自非疫区；</w:t>
            </w:r>
          </w:p>
          <w:p w14:paraId="6552DD0D">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4、符合《冷鲜禽加工经营卫生规范》要求及符合GB2707、GB2762、 GB2763 标准。</w:t>
            </w:r>
          </w:p>
        </w:tc>
      </w:tr>
      <w:tr w14:paraId="31E6A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99" w:type="dxa"/>
            <w:tcBorders>
              <w:top w:val="single" w:color="auto" w:sz="4" w:space="0"/>
              <w:left w:val="single" w:color="000000" w:sz="6" w:space="0"/>
              <w:bottom w:val="single" w:color="auto" w:sz="4" w:space="0"/>
            </w:tcBorders>
            <w:vAlign w:val="center"/>
          </w:tcPr>
          <w:p w14:paraId="01AB4B1C">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2</w:t>
            </w:r>
          </w:p>
        </w:tc>
        <w:tc>
          <w:tcPr>
            <w:tcW w:w="885" w:type="dxa"/>
            <w:tcBorders>
              <w:top w:val="single" w:color="auto" w:sz="4" w:space="0"/>
              <w:bottom w:val="single" w:color="auto" w:sz="4" w:space="0"/>
            </w:tcBorders>
            <w:vAlign w:val="center"/>
          </w:tcPr>
          <w:p w14:paraId="28AE6F3C">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水产（鱼虾）类</w:t>
            </w:r>
          </w:p>
        </w:tc>
        <w:tc>
          <w:tcPr>
            <w:tcW w:w="2721" w:type="dxa"/>
            <w:tcBorders>
              <w:top w:val="single" w:color="auto" w:sz="4" w:space="0"/>
              <w:left w:val="single" w:color="auto" w:sz="4" w:space="0"/>
              <w:bottom w:val="single" w:color="auto" w:sz="4" w:space="0"/>
              <w:right w:val="single" w:color="auto" w:sz="4" w:space="0"/>
            </w:tcBorders>
            <w:vAlign w:val="center"/>
          </w:tcPr>
          <w:p w14:paraId="4D39E4E5">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草鱼、鲢鱼、鲫鱼、雄鱼、边鱼、鲈鱼等水产品，基围虾、圣子、花螺、虾蟹等海 鲜类水产品，鱿鱼、墨鱼等海水产品</w:t>
            </w:r>
          </w:p>
        </w:tc>
        <w:tc>
          <w:tcPr>
            <w:tcW w:w="4489" w:type="dxa"/>
            <w:tcBorders>
              <w:top w:val="single" w:color="auto" w:sz="4" w:space="0"/>
              <w:left w:val="single" w:color="auto" w:sz="4" w:space="0"/>
              <w:bottom w:val="single" w:color="auto" w:sz="4" w:space="0"/>
              <w:right w:val="single" w:color="auto" w:sz="4" w:space="0"/>
            </w:tcBorders>
            <w:vAlign w:val="center"/>
          </w:tcPr>
          <w:p w14:paraId="0274C10C">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鲜活产品在水中游动自如,反应敏捷，无伤残、无畸形、无病害；鳞片完整无损，无皮下出血现象及红色鳞片，速冻海水产品等均符合GB 2733-2015、GB2763-2019、GB2762-2017及其他相关标准。</w:t>
            </w:r>
          </w:p>
        </w:tc>
      </w:tr>
      <w:tr w14:paraId="36E15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99" w:type="dxa"/>
            <w:tcBorders>
              <w:top w:val="single" w:color="auto" w:sz="4" w:space="0"/>
              <w:left w:val="single" w:color="000000" w:sz="6" w:space="0"/>
              <w:bottom w:val="single" w:color="auto" w:sz="4" w:space="0"/>
            </w:tcBorders>
            <w:vAlign w:val="center"/>
          </w:tcPr>
          <w:p w14:paraId="7C718621">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3</w:t>
            </w:r>
          </w:p>
        </w:tc>
        <w:tc>
          <w:tcPr>
            <w:tcW w:w="885" w:type="dxa"/>
            <w:tcBorders>
              <w:top w:val="single" w:color="auto" w:sz="4" w:space="0"/>
              <w:bottom w:val="single" w:color="auto" w:sz="4" w:space="0"/>
            </w:tcBorders>
            <w:vAlign w:val="center"/>
          </w:tcPr>
          <w:p w14:paraId="17FAA1B2">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冻货类</w:t>
            </w:r>
          </w:p>
        </w:tc>
        <w:tc>
          <w:tcPr>
            <w:tcW w:w="2721" w:type="dxa"/>
            <w:tcBorders>
              <w:top w:val="single" w:color="auto" w:sz="4" w:space="0"/>
              <w:left w:val="single" w:color="auto" w:sz="4" w:space="0"/>
              <w:bottom w:val="single" w:color="auto" w:sz="4" w:space="0"/>
              <w:right w:val="single" w:color="auto" w:sz="4" w:space="0"/>
            </w:tcBorders>
            <w:vAlign w:val="center"/>
          </w:tcPr>
          <w:p w14:paraId="210694FB">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冻品、冻禽类</w:t>
            </w:r>
          </w:p>
        </w:tc>
        <w:tc>
          <w:tcPr>
            <w:tcW w:w="4489" w:type="dxa"/>
            <w:tcBorders>
              <w:top w:val="single" w:color="auto" w:sz="4" w:space="0"/>
              <w:left w:val="single" w:color="auto" w:sz="4" w:space="0"/>
              <w:bottom w:val="single" w:color="auto" w:sz="4" w:space="0"/>
              <w:right w:val="single" w:color="auto" w:sz="4" w:space="0"/>
            </w:tcBorders>
            <w:vAlign w:val="center"/>
          </w:tcPr>
          <w:p w14:paraId="1D77B631">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符合国家相关标准。</w:t>
            </w:r>
          </w:p>
        </w:tc>
      </w:tr>
    </w:tbl>
    <w:p w14:paraId="425CAAA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1.家禽、冻货类:</w:t>
      </w:r>
    </w:p>
    <w:p w14:paraId="1231936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1.1具体配送要求：</w:t>
      </w:r>
    </w:p>
    <w:p w14:paraId="48CD4820">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(1)采购人按需采购肉类，中选人必须满足采购人实际需求；</w:t>
      </w:r>
    </w:p>
    <w:p w14:paraId="185F00DF">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(2)冷鲜肉品质量要求：新鲜(当天12小时内屠宰)、冷鲜肉，不注水，肉 上有屠宰场经质量检验合格的滚花，提供所供当批次的动物检疫和肉的肉品品质 检验合格证；</w:t>
      </w:r>
    </w:p>
    <w:p w14:paraId="06D5F5FC">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(3)鲜活禽类质量要求：新鲜，感官检验、化学检验均符合要求；</w:t>
      </w:r>
    </w:p>
    <w:p w14:paraId="410221F6">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(4)冻品质量要求：感官检验、化学检验、添加剂检验、有害金属的检验均符合要求；</w:t>
      </w:r>
    </w:p>
    <w:p w14:paraId="5C0A2C0E">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冻禽质量标准：产品无变质、无异味、无腐败、无杂质；产品无过保质期；产品非病死禽、畜制品；产品应经检验、检疫合格；产品不得超过国家食品卫生法规规定的指标；所有物资产品需有相关检验、检疫及相关合格证明；包装规格统一，完好无破损。有明确保质期的，在送达采购人要求地点时保质期剩余时间应在80%以上。禽类肌肉有光泽，红色或暗红色，脂肪白色。畜类体表光泽、肌肉坚实。所有冷冻食品均不得为二次化冰食品；</w:t>
      </w:r>
    </w:p>
    <w:p w14:paraId="0205374D">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(6)中选人的所供货物不得以次充好，不得将病死、残剩肉、老母猪肉等不合格品掺杂其中，一经发现，取消其供货资格，并承担由此造成的一切后果，如构成违法，将依法追求其法律责任。</w:t>
      </w:r>
    </w:p>
    <w:p w14:paraId="07EBDFAD">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2.2安全卫生要求：</w:t>
      </w:r>
    </w:p>
    <w:p w14:paraId="72290E33">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(1)《中华人民共和国进出口商品检验法及其实施条例》；</w:t>
      </w:r>
    </w:p>
    <w:p w14:paraId="7AC1616B">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(2)《中华人民共和国动植物检疫法及其实施条例》；</w:t>
      </w:r>
    </w:p>
    <w:p w14:paraId="56C2ABBD">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(3)《中华人民共和国动物防疫法》；</w:t>
      </w:r>
    </w:p>
    <w:p w14:paraId="0CD5C18E">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(4)《食品安全国家标准鲜(冻)畜、禽产品》 GB2707-2016；</w:t>
      </w:r>
    </w:p>
    <w:p w14:paraId="5EFF0F9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(5)《食品安全国家标准食品中农药最大残留限量》 GB2763-2021；</w:t>
      </w:r>
    </w:p>
    <w:p w14:paraId="3F8AE868">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(6)《食品安全国家标准食品中污染物限量》 GB2762-2017；</w:t>
      </w:r>
    </w:p>
    <w:p w14:paraId="018D3663">
      <w:pPr>
        <w:spacing w:line="480" w:lineRule="exact"/>
        <w:ind w:firstLine="480" w:firstLineChars="200"/>
        <w:rPr>
          <w:rFonts w:ascii="仿宋_GB2312" w:hAnsi="仿宋_GB2312" w:eastAsia="仿宋_GB2312" w:cs="仿宋_GB2312"/>
          <w:color w:val="FF0000"/>
          <w:sz w:val="24"/>
        </w:rPr>
      </w:pPr>
      <w:r>
        <w:rPr>
          <w:rFonts w:hint="eastAsia" w:ascii="仿宋_GB2312" w:hAnsi="仿宋_GB2312" w:eastAsia="仿宋_GB2312" w:cs="仿宋_GB2312"/>
          <w:sz w:val="24"/>
        </w:rPr>
        <w:t>(7)其他可能适用于本招标文件内容的相关法律法规或质量标准。</w:t>
      </w:r>
    </w:p>
    <w:p w14:paraId="2F74936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3.水产（鱼虾）类：</w:t>
      </w:r>
    </w:p>
    <w:p w14:paraId="7204F0AF">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3.1具体配送要求</w:t>
      </w:r>
    </w:p>
    <w:p w14:paraId="105DAF7F">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(1)采购人按需采购水产类，中选人必须满足采购人实际需求；</w:t>
      </w:r>
    </w:p>
    <w:p w14:paraId="2EBFA913">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(2)鲜活水产质量要求：鲜活，感官检验、化学检验、添加剂检验、有害金属的检验均符合要求；</w:t>
      </w:r>
    </w:p>
    <w:p w14:paraId="17CE9527">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(3)速冻海水产品等符合国家 GB2733-2015、GB2763-2019、GB2762-2017及其他相关标准；</w:t>
      </w:r>
    </w:p>
    <w:p w14:paraId="12531FC2">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(4)中选人所供货物不得以次充好，不得将病 死、残剩等不合格品掺杂其中，一经发现，取消其供货资格，并承担由此造成的 一切后果，如构成违法，将依法追求其法律责任。</w:t>
      </w:r>
    </w:p>
    <w:p w14:paraId="046D937C">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3.2安全卫生要求：</w:t>
      </w:r>
    </w:p>
    <w:p w14:paraId="3741456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(1)《中华人民共和国进出口商品检验法及其实施条例》；</w:t>
      </w:r>
    </w:p>
    <w:p w14:paraId="2EF95C31">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(2)《中华人民共和国动植物检疫法及其实施条例》；</w:t>
      </w:r>
    </w:p>
    <w:p w14:paraId="152EECD4">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(3)《中华人民共和国动物防疫法》；</w:t>
      </w:r>
    </w:p>
    <w:p w14:paraId="7F597457">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(4)《食品安全国家标准鲜、冻动物性水产品》 GB2733-2015；</w:t>
      </w:r>
    </w:p>
    <w:p w14:paraId="58FA9E5A">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(5)《食品安全国家标准食品中农药最大残留限量》 GB2763-2021；</w:t>
      </w:r>
    </w:p>
    <w:p w14:paraId="237A916A">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(6)《食品安全国家标准食品中污染物限量》 GB2762-2017；</w:t>
      </w:r>
    </w:p>
    <w:p w14:paraId="55B5A71D">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(7)其他可能适用于本招标文件内容的相关法律法规或质量标准。</w:t>
      </w:r>
    </w:p>
    <w:p w14:paraId="429500BA">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（四）干货调料、禽蛋、洗洁用品、一次性用品类</w:t>
      </w:r>
    </w:p>
    <w:tbl>
      <w:tblPr>
        <w:tblStyle w:val="30"/>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9"/>
        <w:gridCol w:w="885"/>
        <w:gridCol w:w="2721"/>
        <w:gridCol w:w="4489"/>
      </w:tblGrid>
      <w:tr w14:paraId="4EF5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599" w:type="dxa"/>
            <w:vAlign w:val="center"/>
          </w:tcPr>
          <w:p w14:paraId="2071F0DD">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序号</w:t>
            </w:r>
          </w:p>
        </w:tc>
        <w:tc>
          <w:tcPr>
            <w:tcW w:w="885" w:type="dxa"/>
            <w:vAlign w:val="center"/>
          </w:tcPr>
          <w:p w14:paraId="62DA6972">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类别</w:t>
            </w:r>
          </w:p>
        </w:tc>
        <w:tc>
          <w:tcPr>
            <w:tcW w:w="2721" w:type="dxa"/>
            <w:vAlign w:val="center"/>
          </w:tcPr>
          <w:p w14:paraId="1DDF04A3">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品种名称(包括但不限于以下内容)</w:t>
            </w:r>
          </w:p>
        </w:tc>
        <w:tc>
          <w:tcPr>
            <w:tcW w:w="4489" w:type="dxa"/>
            <w:vAlign w:val="center"/>
          </w:tcPr>
          <w:p w14:paraId="24FA0795">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标准要求</w:t>
            </w:r>
          </w:p>
        </w:tc>
      </w:tr>
      <w:tr w14:paraId="74B01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599" w:type="dxa"/>
            <w:tcBorders>
              <w:top w:val="single" w:color="auto" w:sz="4" w:space="0"/>
              <w:left w:val="single" w:color="000000" w:sz="6" w:space="0"/>
              <w:bottom w:val="single" w:color="auto" w:sz="4" w:space="0"/>
            </w:tcBorders>
            <w:vAlign w:val="center"/>
          </w:tcPr>
          <w:p w14:paraId="0BCC772A">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1</w:t>
            </w:r>
          </w:p>
        </w:tc>
        <w:tc>
          <w:tcPr>
            <w:tcW w:w="885" w:type="dxa"/>
            <w:tcBorders>
              <w:top w:val="single" w:color="auto" w:sz="4" w:space="0"/>
              <w:bottom w:val="single" w:color="auto" w:sz="4" w:space="0"/>
            </w:tcBorders>
            <w:vAlign w:val="center"/>
          </w:tcPr>
          <w:p w14:paraId="662F3CC7">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调味品类</w:t>
            </w:r>
          </w:p>
        </w:tc>
        <w:tc>
          <w:tcPr>
            <w:tcW w:w="2721" w:type="dxa"/>
            <w:tcBorders>
              <w:top w:val="single" w:color="auto" w:sz="4" w:space="0"/>
              <w:left w:val="single" w:color="auto" w:sz="4" w:space="0"/>
              <w:bottom w:val="single" w:color="auto" w:sz="4" w:space="0"/>
              <w:right w:val="single" w:color="auto" w:sz="4" w:space="0"/>
            </w:tcBorders>
            <w:vAlign w:val="center"/>
          </w:tcPr>
          <w:p w14:paraId="40FE6137">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酱油、盐、鸡精、味精、米 醋、料酒、淀粉、酵母、糖、榨菜等</w:t>
            </w:r>
          </w:p>
        </w:tc>
        <w:tc>
          <w:tcPr>
            <w:tcW w:w="4489" w:type="dxa"/>
            <w:tcBorders>
              <w:top w:val="single" w:color="auto" w:sz="4" w:space="0"/>
              <w:left w:val="single" w:color="auto" w:sz="4" w:space="0"/>
              <w:bottom w:val="single" w:color="auto" w:sz="4" w:space="0"/>
              <w:right w:val="single" w:color="auto" w:sz="4" w:space="0"/>
            </w:tcBorders>
            <w:vAlign w:val="center"/>
          </w:tcPr>
          <w:p w14:paraId="106D22B8">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1.符合 《食品安全国家标准 食品添加剂使用标准》GB2760-2 014及其他相关标准；                                    2.具有“QS”食品质量认证标志，符合国家计量法规格要求；</w:t>
            </w:r>
          </w:p>
          <w:p w14:paraId="2A39C084">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3.正规知名厂商生产，品质良好、包装完好，产品在保质期内且生产日期接近。</w:t>
            </w:r>
          </w:p>
        </w:tc>
      </w:tr>
      <w:tr w14:paraId="586D0E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4" w:hRule="atLeast"/>
          <w:jc w:val="center"/>
        </w:trPr>
        <w:tc>
          <w:tcPr>
            <w:tcW w:w="599" w:type="dxa"/>
            <w:tcBorders>
              <w:top w:val="single" w:color="auto" w:sz="4" w:space="0"/>
              <w:left w:val="single" w:color="000000" w:sz="6" w:space="0"/>
              <w:bottom w:val="single" w:color="auto" w:sz="4" w:space="0"/>
            </w:tcBorders>
            <w:vAlign w:val="center"/>
          </w:tcPr>
          <w:p w14:paraId="154A64E3">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2</w:t>
            </w:r>
          </w:p>
        </w:tc>
        <w:tc>
          <w:tcPr>
            <w:tcW w:w="885" w:type="dxa"/>
            <w:tcBorders>
              <w:top w:val="single" w:color="auto" w:sz="4" w:space="0"/>
              <w:bottom w:val="single" w:color="auto" w:sz="4" w:space="0"/>
            </w:tcBorders>
            <w:vAlign w:val="center"/>
          </w:tcPr>
          <w:p w14:paraId="6DF20F35">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干货类</w:t>
            </w:r>
          </w:p>
        </w:tc>
        <w:tc>
          <w:tcPr>
            <w:tcW w:w="2721" w:type="dxa"/>
            <w:tcBorders>
              <w:top w:val="single" w:color="auto" w:sz="4" w:space="0"/>
              <w:left w:val="single" w:color="auto" w:sz="4" w:space="0"/>
              <w:bottom w:val="single" w:color="auto" w:sz="4" w:space="0"/>
              <w:right w:val="single" w:color="auto" w:sz="4" w:space="0"/>
            </w:tcBorders>
            <w:vAlign w:val="center"/>
          </w:tcPr>
          <w:p w14:paraId="19D3C492">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木耳、海带、笋子、红枣、银耳、莲子、薏米、干蘑菇、粉丝、墨鱼、鱿鱼、紫菜等</w:t>
            </w:r>
          </w:p>
        </w:tc>
        <w:tc>
          <w:tcPr>
            <w:tcW w:w="4489" w:type="dxa"/>
            <w:tcBorders>
              <w:top w:val="single" w:color="auto" w:sz="4" w:space="0"/>
              <w:left w:val="single" w:color="auto" w:sz="4" w:space="0"/>
              <w:bottom w:val="single" w:color="auto" w:sz="4" w:space="0"/>
              <w:right w:val="single" w:color="auto" w:sz="4" w:space="0"/>
            </w:tcBorders>
            <w:vAlign w:val="center"/>
          </w:tcPr>
          <w:p w14:paraId="52398E81">
            <w:pPr>
              <w:spacing w:line="440" w:lineRule="exact"/>
              <w:jc w:val="left"/>
              <w:rPr>
                <w:rFonts w:ascii="仿宋_GB2312" w:hAnsi="仿宋_GB2312" w:eastAsia="仿宋_GB2312" w:cs="仿宋_GB2312"/>
                <w:sz w:val="22"/>
                <w:szCs w:val="22"/>
              </w:rPr>
            </w:pPr>
            <w:r>
              <w:rPr>
                <w:rFonts w:hint="eastAsia" w:ascii="仿宋_GB2312" w:hAnsi="仿宋_GB2312" w:eastAsia="仿宋_GB2312" w:cs="仿宋_GB2312"/>
                <w:sz w:val="22"/>
                <w:szCs w:val="22"/>
              </w:rPr>
              <w:t>符合国家相关食品安全国家标准；每批次货物提供必要的质量证明材料；如遇法律法规、标准变化，导致对同一问题的处理出现歧义或不一致时，一律就高不就低。</w:t>
            </w:r>
          </w:p>
        </w:tc>
      </w:tr>
      <w:tr w14:paraId="4AD34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1" w:hRule="atLeast"/>
          <w:jc w:val="center"/>
        </w:trPr>
        <w:tc>
          <w:tcPr>
            <w:tcW w:w="599" w:type="dxa"/>
            <w:tcBorders>
              <w:top w:val="single" w:color="auto" w:sz="4" w:space="0"/>
              <w:left w:val="single" w:color="000000" w:sz="6" w:space="0"/>
              <w:bottom w:val="single" w:color="auto" w:sz="4" w:space="0"/>
            </w:tcBorders>
            <w:vAlign w:val="center"/>
          </w:tcPr>
          <w:p w14:paraId="456FB29B">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3</w:t>
            </w:r>
          </w:p>
        </w:tc>
        <w:tc>
          <w:tcPr>
            <w:tcW w:w="885" w:type="dxa"/>
            <w:tcBorders>
              <w:top w:val="single" w:color="auto" w:sz="4" w:space="0"/>
              <w:bottom w:val="single" w:color="auto" w:sz="4" w:space="0"/>
            </w:tcBorders>
            <w:vAlign w:val="center"/>
          </w:tcPr>
          <w:p w14:paraId="493A7E19">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洗洁用品、一次性用品类</w:t>
            </w:r>
          </w:p>
        </w:tc>
        <w:tc>
          <w:tcPr>
            <w:tcW w:w="2721" w:type="dxa"/>
            <w:tcBorders>
              <w:top w:val="single" w:color="auto" w:sz="4" w:space="0"/>
              <w:left w:val="single" w:color="auto" w:sz="4" w:space="0"/>
              <w:bottom w:val="single" w:color="auto" w:sz="4" w:space="0"/>
              <w:right w:val="single" w:color="auto" w:sz="4" w:space="0"/>
            </w:tcBorders>
            <w:vAlign w:val="center"/>
          </w:tcPr>
          <w:p w14:paraId="02D0039B">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洗洁精、洗碗布等</w:t>
            </w:r>
          </w:p>
        </w:tc>
        <w:tc>
          <w:tcPr>
            <w:tcW w:w="4489" w:type="dxa"/>
            <w:tcBorders>
              <w:top w:val="single" w:color="auto" w:sz="4" w:space="0"/>
              <w:left w:val="single" w:color="auto" w:sz="4" w:space="0"/>
              <w:bottom w:val="single" w:color="auto" w:sz="4" w:space="0"/>
              <w:right w:val="single" w:color="auto" w:sz="4" w:space="0"/>
            </w:tcBorders>
            <w:vAlign w:val="center"/>
          </w:tcPr>
          <w:p w14:paraId="3AC249D3">
            <w:pPr>
              <w:widowControl/>
              <w:jc w:val="left"/>
              <w:rPr>
                <w:rFonts w:ascii="仿宋_GB2312" w:hAnsi="仿宋_GB2312" w:eastAsia="仿宋_GB2312" w:cs="仿宋_GB2312"/>
                <w:snapToGrid w:val="0"/>
                <w:color w:val="000000"/>
                <w:kern w:val="0"/>
                <w:sz w:val="22"/>
                <w:szCs w:val="22"/>
                <w:lang w:bidi="ar"/>
              </w:rPr>
            </w:pPr>
            <w:r>
              <w:rPr>
                <w:rFonts w:hint="eastAsia" w:ascii="仿宋_GB2312" w:hAnsi="仿宋_GB2312" w:eastAsia="仿宋_GB2312" w:cs="仿宋_GB2312"/>
                <w:snapToGrid w:val="0"/>
                <w:color w:val="000000"/>
                <w:kern w:val="0"/>
                <w:sz w:val="22"/>
                <w:szCs w:val="22"/>
                <w:lang w:bidi="ar"/>
              </w:rPr>
              <w:t>1、所有产品包装必须符合国家标准；</w:t>
            </w:r>
          </w:p>
          <w:p w14:paraId="369AC7FB">
            <w:pPr>
              <w:pStyle w:val="17"/>
              <w:ind w:left="0" w:leftChars="0" w:firstLine="0" w:firstLineChars="0"/>
              <w:rPr>
                <w:rFonts w:ascii="仿宋_GB2312" w:hAnsi="仿宋_GB2312" w:eastAsia="仿宋_GB2312" w:cs="仿宋_GB2312"/>
                <w:sz w:val="22"/>
                <w:szCs w:val="22"/>
              </w:rPr>
            </w:pPr>
            <w:r>
              <w:rPr>
                <w:rFonts w:hint="eastAsia" w:ascii="仿宋_GB2312" w:hAnsi="仿宋_GB2312" w:eastAsia="仿宋_GB2312" w:cs="仿宋_GB2312"/>
                <w:snapToGrid w:val="0"/>
                <w:color w:val="000000"/>
                <w:sz w:val="22"/>
                <w:szCs w:val="22"/>
                <w:lang w:bidi="ar"/>
              </w:rPr>
              <w:t>2</w:t>
            </w:r>
            <w:r>
              <w:rPr>
                <w:rFonts w:hint="eastAsia" w:ascii="仿宋_GB2312" w:hAnsi="仿宋_GB2312" w:eastAsia="仿宋_GB2312" w:cs="仿宋_GB2312"/>
                <w:snapToGrid w:val="0"/>
                <w:color w:val="000000"/>
                <w:sz w:val="22"/>
                <w:szCs w:val="22"/>
                <w:lang w:eastAsia="en-US" w:bidi="ar"/>
              </w:rPr>
              <w:t>、</w:t>
            </w:r>
            <w:r>
              <w:rPr>
                <w:rFonts w:hint="eastAsia" w:ascii="仿宋_GB2312" w:hAnsi="仿宋_GB2312" w:eastAsia="仿宋_GB2312" w:cs="仿宋_GB2312"/>
                <w:sz w:val="22"/>
                <w:szCs w:val="22"/>
              </w:rPr>
              <w:t>生产日期、质保期及包装、卫生标准符合要求。</w:t>
            </w:r>
          </w:p>
        </w:tc>
      </w:tr>
      <w:tr w14:paraId="7DDF1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1" w:hRule="atLeast"/>
          <w:jc w:val="center"/>
        </w:trPr>
        <w:tc>
          <w:tcPr>
            <w:tcW w:w="599" w:type="dxa"/>
            <w:tcBorders>
              <w:top w:val="single" w:color="auto" w:sz="4" w:space="0"/>
              <w:left w:val="single" w:color="000000" w:sz="6" w:space="0"/>
              <w:bottom w:val="single" w:color="auto" w:sz="4" w:space="0"/>
            </w:tcBorders>
            <w:vAlign w:val="center"/>
          </w:tcPr>
          <w:p w14:paraId="1E280049">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4</w:t>
            </w:r>
          </w:p>
        </w:tc>
        <w:tc>
          <w:tcPr>
            <w:tcW w:w="885" w:type="dxa"/>
            <w:tcBorders>
              <w:top w:val="single" w:color="auto" w:sz="4" w:space="0"/>
              <w:bottom w:val="single" w:color="auto" w:sz="4" w:space="0"/>
            </w:tcBorders>
            <w:vAlign w:val="center"/>
          </w:tcPr>
          <w:p w14:paraId="156C9B36">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禽蛋</w:t>
            </w:r>
          </w:p>
        </w:tc>
        <w:tc>
          <w:tcPr>
            <w:tcW w:w="2721" w:type="dxa"/>
            <w:tcBorders>
              <w:top w:val="single" w:color="auto" w:sz="4" w:space="0"/>
              <w:left w:val="single" w:color="auto" w:sz="4" w:space="0"/>
              <w:bottom w:val="single" w:color="auto" w:sz="4" w:space="0"/>
              <w:right w:val="single" w:color="auto" w:sz="4" w:space="0"/>
            </w:tcBorders>
            <w:vAlign w:val="center"/>
          </w:tcPr>
          <w:p w14:paraId="43E3FA0A">
            <w:pPr>
              <w:spacing w:line="440" w:lineRule="exac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禽蛋类</w:t>
            </w:r>
          </w:p>
        </w:tc>
        <w:tc>
          <w:tcPr>
            <w:tcW w:w="4489" w:type="dxa"/>
            <w:tcBorders>
              <w:top w:val="single" w:color="auto" w:sz="4" w:space="0"/>
              <w:left w:val="single" w:color="auto" w:sz="4" w:space="0"/>
              <w:bottom w:val="single" w:color="auto" w:sz="4" w:space="0"/>
              <w:right w:val="single" w:color="auto" w:sz="4" w:space="0"/>
            </w:tcBorders>
            <w:vAlign w:val="center"/>
          </w:tcPr>
          <w:p w14:paraId="58E7E571">
            <w:pPr>
              <w:spacing w:line="440" w:lineRule="exact"/>
              <w:jc w:val="left"/>
              <w:rPr>
                <w:rFonts w:ascii="仿宋_GB2312" w:hAnsi="仿宋_GB2312" w:eastAsia="仿宋_GB2312" w:cs="仿宋_GB2312"/>
                <w:snapToGrid w:val="0"/>
                <w:color w:val="000000"/>
                <w:kern w:val="0"/>
                <w:sz w:val="22"/>
                <w:szCs w:val="22"/>
                <w:lang w:bidi="ar"/>
              </w:rPr>
            </w:pPr>
            <w:r>
              <w:rPr>
                <w:rFonts w:hint="eastAsia" w:ascii="仿宋_GB2312" w:hAnsi="仿宋_GB2312" w:eastAsia="仿宋_GB2312" w:cs="仿宋_GB2312"/>
                <w:sz w:val="22"/>
                <w:szCs w:val="22"/>
              </w:rPr>
              <w:t>无公害，蛋壳清洁完整，色泽鲜明、无破损、裂纹，无霉斑，灯光透视时，整个蛋呈桔黄色至橙红色，蛋黄不见或略见阴影，没有霉味、酸味，臭味等不良气味，打开后蛋黄凸起、完整、有韧性，蛋白澄清、透明、稀稠分明，无异味。</w:t>
            </w:r>
          </w:p>
        </w:tc>
      </w:tr>
    </w:tbl>
    <w:p w14:paraId="1CBE7E42">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 xml:space="preserve">1.调味品类、易耗品类供货要求： </w:t>
      </w:r>
    </w:p>
    <w:p w14:paraId="06AAD4BD">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 xml:space="preserve">(1)采购人按需采购各类调味品，供应商必须满足采购人实际需求。 </w:t>
      </w:r>
    </w:p>
    <w:p w14:paraId="164B81B5">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 xml:space="preserve">(2)质量要求：生产日期、质保期及包装、卫生标准符合要求。 </w:t>
      </w:r>
    </w:p>
    <w:p w14:paraId="081E6AA0">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(3)供应商必须讲诚信，讲究职业道德，所供货物不得以次充好，不得将不</w:t>
      </w:r>
    </w:p>
    <w:p w14:paraId="4EFB0EFD">
      <w:pPr>
        <w:widowControl/>
        <w:spacing w:line="360" w:lineRule="auto"/>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 xml:space="preserve">合格品掺杂其中，一经发现，取消其供货资格，并承担由此造成的一切后果，如构成违法，将依法追求其法律责任。 </w:t>
      </w:r>
    </w:p>
    <w:p w14:paraId="66290CA7">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 xml:space="preserve">2.干货类供货要求： </w:t>
      </w:r>
    </w:p>
    <w:p w14:paraId="4A5974A0">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 xml:space="preserve">(1)采购人按需采购各类干货物品，供应商必须满足采购人实际需求。 </w:t>
      </w:r>
    </w:p>
    <w:p w14:paraId="14A67C04">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 xml:space="preserve">(2)质量要求：生产日期、质保期及包装、卫生标准符合要求。 </w:t>
      </w:r>
    </w:p>
    <w:p w14:paraId="2727D457">
      <w:pPr>
        <w:widowControl/>
        <w:spacing w:line="360" w:lineRule="auto"/>
        <w:ind w:firstLine="480" w:firstLineChars="200"/>
        <w:jc w:val="left"/>
        <w:rPr>
          <w:rFonts w:ascii="仿宋_GB2312" w:hAnsi="仿宋_GB2312" w:eastAsia="仿宋_GB2312" w:cs="仿宋_GB2312"/>
        </w:rPr>
      </w:pPr>
      <w:r>
        <w:rPr>
          <w:rFonts w:hint="eastAsia" w:ascii="仿宋_GB2312" w:hAnsi="仿宋_GB2312" w:eastAsia="仿宋_GB2312" w:cs="仿宋_GB2312"/>
          <w:snapToGrid w:val="0"/>
          <w:color w:val="000000"/>
          <w:kern w:val="0"/>
          <w:sz w:val="24"/>
          <w:lang w:bidi="ar"/>
        </w:rPr>
        <w:t>(3)供货方必须讲诚信，讲究职业道德，所供货物不得以次充好，不得将不合格品掺杂其中，一经发现，取消其供货资格，不予退还全部履约金，并承担由此造成的一切后果，如构成违法，将依法追求其法律责任。</w:t>
      </w:r>
    </w:p>
    <w:p w14:paraId="3475035B">
      <w:pPr>
        <w:widowControl/>
        <w:spacing w:line="360" w:lineRule="auto"/>
        <w:ind w:firstLine="480" w:firstLineChars="200"/>
        <w:jc w:val="left"/>
        <w:rPr>
          <w:rFonts w:ascii="仿宋_GB2312" w:hAnsi="仿宋_GB2312" w:eastAsia="仿宋_GB2312" w:cs="仿宋_GB2312"/>
          <w:snapToGrid w:val="0"/>
          <w:color w:val="000000"/>
          <w:kern w:val="0"/>
          <w:sz w:val="24"/>
          <w:lang w:bidi="ar"/>
        </w:rPr>
      </w:pPr>
      <w:r>
        <w:rPr>
          <w:rFonts w:hint="eastAsia" w:ascii="仿宋_GB2312" w:hAnsi="仿宋_GB2312" w:eastAsia="仿宋_GB2312" w:cs="仿宋_GB2312"/>
          <w:snapToGrid w:val="0"/>
          <w:color w:val="000000"/>
          <w:kern w:val="0"/>
          <w:sz w:val="24"/>
          <w:lang w:bidi="ar"/>
        </w:rPr>
        <w:t>3.洗洁用品、一次性用品类供货要求：</w:t>
      </w:r>
    </w:p>
    <w:p w14:paraId="631EC948">
      <w:pPr>
        <w:widowControl/>
        <w:spacing w:line="360" w:lineRule="auto"/>
        <w:ind w:firstLine="480" w:firstLineChars="200"/>
        <w:jc w:val="left"/>
        <w:rPr>
          <w:rFonts w:ascii="仿宋_GB2312" w:hAnsi="仿宋_GB2312" w:eastAsia="仿宋_GB2312" w:cs="仿宋_GB2312"/>
          <w:snapToGrid w:val="0"/>
          <w:color w:val="000000"/>
          <w:kern w:val="0"/>
          <w:sz w:val="24"/>
          <w:lang w:bidi="ar"/>
        </w:rPr>
      </w:pPr>
      <w:r>
        <w:rPr>
          <w:rFonts w:hint="eastAsia" w:ascii="仿宋_GB2312" w:hAnsi="仿宋_GB2312" w:eastAsia="仿宋_GB2312" w:cs="仿宋_GB2312"/>
          <w:snapToGrid w:val="0"/>
          <w:color w:val="000000"/>
          <w:kern w:val="0"/>
          <w:sz w:val="24"/>
          <w:lang w:bidi="ar"/>
        </w:rPr>
        <w:t>(1)保持较好外观。</w:t>
      </w:r>
    </w:p>
    <w:p w14:paraId="6A5FEB95">
      <w:pPr>
        <w:widowControl/>
        <w:spacing w:line="360" w:lineRule="auto"/>
        <w:ind w:firstLine="480" w:firstLineChars="200"/>
        <w:jc w:val="left"/>
        <w:rPr>
          <w:rFonts w:ascii="仿宋_GB2312" w:hAnsi="仿宋_GB2312" w:eastAsia="仿宋_GB2312" w:cs="仿宋_GB2312"/>
          <w:snapToGrid w:val="0"/>
          <w:color w:val="000000"/>
          <w:kern w:val="0"/>
          <w:sz w:val="24"/>
          <w:lang w:bidi="ar"/>
        </w:rPr>
      </w:pPr>
      <w:r>
        <w:rPr>
          <w:rFonts w:hint="eastAsia" w:ascii="仿宋_GB2312" w:hAnsi="仿宋_GB2312" w:eastAsia="仿宋_GB2312" w:cs="仿宋_GB2312"/>
          <w:snapToGrid w:val="0"/>
          <w:color w:val="000000"/>
          <w:kern w:val="0"/>
          <w:sz w:val="24"/>
          <w:lang w:bidi="ar"/>
        </w:rPr>
        <w:t>(2)要求物资干燥、无杂质、无霉变、无硫磺等刺激性气味。</w:t>
      </w:r>
    </w:p>
    <w:p w14:paraId="775176AF">
      <w:pPr>
        <w:widowControl/>
        <w:spacing w:line="360" w:lineRule="auto"/>
        <w:ind w:firstLine="480" w:firstLineChars="200"/>
        <w:jc w:val="left"/>
        <w:rPr>
          <w:rFonts w:ascii="仿宋_GB2312" w:hAnsi="仿宋_GB2312" w:eastAsia="仿宋_GB2312" w:cs="仿宋_GB2312"/>
          <w:snapToGrid w:val="0"/>
          <w:color w:val="000000"/>
          <w:kern w:val="0"/>
          <w:sz w:val="24"/>
          <w:lang w:bidi="ar"/>
        </w:rPr>
      </w:pPr>
      <w:r>
        <w:rPr>
          <w:rFonts w:hint="eastAsia" w:ascii="仿宋_GB2312" w:hAnsi="仿宋_GB2312" w:eastAsia="仿宋_GB2312" w:cs="仿宋_GB2312"/>
          <w:snapToGrid w:val="0"/>
          <w:color w:val="000000"/>
          <w:kern w:val="0"/>
          <w:sz w:val="24"/>
          <w:lang w:bidi="ar"/>
        </w:rPr>
        <w:t>4.所有产品包装必须符合国家标准。预包装食品不得出现临期商品，其剩余有效期不得少于标注有效期的80%。产品在保质期内出现非采购人人为原因所导致的质量问题，供应商负责包退、包换。</w:t>
      </w:r>
    </w:p>
    <w:p w14:paraId="3E86D7BD">
      <w:pPr>
        <w:spacing w:line="453"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 xml:space="preserve">六、供货要求 </w:t>
      </w:r>
    </w:p>
    <w:p w14:paraId="7614904C">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（一）供货时间 </w:t>
      </w:r>
    </w:p>
    <w:p w14:paraId="65946B3C">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采购人提前 1 天向供应商提供“采购计划单”一式两份，供应商需次日上午7:35按“采购计划单”明细运输至指定地点并进行分类（双方有特殊约定的按照约定时间配送）。 </w:t>
      </w:r>
    </w:p>
    <w:p w14:paraId="11C13E35">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（二）供货要求 </w:t>
      </w:r>
    </w:p>
    <w:p w14:paraId="54846B8F">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1.供应商必须具备符合行业规定及满足供货需要的仓储、交通运输等设施设备，确保食品原料的安全储存和安全运输。 </w:t>
      </w:r>
    </w:p>
    <w:p w14:paraId="1CBCECD9">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2.供应商提供的食品原料必须是符合国家标准及行业标准的食品。 </w:t>
      </w:r>
    </w:p>
    <w:p w14:paraId="0170E651">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3.食品运输必须采用符合卫生标准的外包装和运载工具，并且要保持清洁和定期消毒。冷藏、冷冻食品和肉类必须整个运输过程应科学合理，运输车辆应定期清洁，保持性能稳定，使运输食品处于恒定的环境中。 </w:t>
      </w:r>
    </w:p>
    <w:p w14:paraId="6D415E5D">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4.运输过程须保证食品的卫生与安全，交通工具应停放在采购人指定的地点。 </w:t>
      </w:r>
    </w:p>
    <w:p w14:paraId="03A3E268">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5.供货过程中如采购人验收质量不合格的，供应商必须于一个小时内重新送货上门。供应商如送货迟到超过 30 分钟以上一次提出口头警告，并要求作出书面保证，二次扣当月总货款的10%。三次以上，采购人将解除其供应合同，由此造成的所有损失由供应商自行承担。</w:t>
      </w:r>
    </w:p>
    <w:p w14:paraId="6AA42BA5">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6.供应商配送时需提供“送货清单”一式两份给采购人，“送货清单”内容需包含产品名称、产品重量、产品单价及总价等重要内容，由采购人根据“送货清单”核准称重。 </w:t>
      </w:r>
    </w:p>
    <w:p w14:paraId="256F4190">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（三）验收要求</w:t>
      </w:r>
    </w:p>
    <w:p w14:paraId="789B0271">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1.本项目所指的商品及服务应符合招标文件的所述的标准；如果没有提及适用标准，则应符合中华人民共和国国家标准或行业标准；所有标准必须是有关机构发布的最新版本的标准。 </w:t>
      </w:r>
    </w:p>
    <w:p w14:paraId="69447331">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2.商品有包装的，商品的包装必须完整清洁（无损、无污、无皱），有注册商标、成分、生产日期、生产厂家和保质期等。采购人有权拒收包装不整齐、已拆封的商品。 </w:t>
      </w:r>
    </w:p>
    <w:p w14:paraId="45279BD6">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3.采购人发现商品出现损坏（包括表面损坏），或出现水渍、串味、受潮等导致商品性质改变的，供应商必须无条件退货或更换商品。 </w:t>
      </w:r>
    </w:p>
    <w:p w14:paraId="34DC229F">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4.所供物资按除箱净重过磅，最终交易重量以采购人确认的过磅数为准。 </w:t>
      </w:r>
    </w:p>
    <w:p w14:paraId="7C528319">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5.供应商所供物资超出“采购计划单”明细的采购人自行退货，不再接收。 </w:t>
      </w:r>
    </w:p>
    <w:p w14:paraId="4530532E">
      <w:pPr>
        <w:spacing w:line="453"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 xml:space="preserve">七、结算 </w:t>
      </w:r>
    </w:p>
    <w:p w14:paraId="7787115F">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1.蔬菜、水果、鲜肉、冷冻食品、副食品、海鲜基准价格的确认每15天为一个询价周期，干货调料、禽蛋、洗洁用品、一次性用品类每30天为一个询价周期，中选单位按照约定定期定时向采购人提供所送货物清单，采购人将建立定期询价机制，价格以湖南省农业农村厅发布政务信息公开《湖南主要农产品批发价格监测周报》每月初第一次发布价格为当月基准价。价格周报未包括的商品，由采购人随机抽派2-3人在市内香江百货、步步高超市、三泰市场等地点采集信息作为基准价格。基准价格一经确定，双方必须严格执行，不受市场物价波动影响，不得调价。 </w:t>
      </w:r>
    </w:p>
    <w:p w14:paraId="6F7172F4">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2.以每天核定后的“送货清单”数量明细及价格，按月结算。 </w:t>
      </w:r>
    </w:p>
    <w:p w14:paraId="0D576748">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3.结算价＝实际采购量×采购人审核后的基准价格×中标折扣率 </w:t>
      </w:r>
    </w:p>
    <w:p w14:paraId="2E761D1E">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4.结算价格包括采购价和运输到指定地点所发生的运费、人工费、利润、税金等一切可能发生的费用，需开具正规有效发票，采购人不再支付任何其他费用。 </w:t>
      </w:r>
    </w:p>
    <w:p w14:paraId="79F4090B">
      <w:pPr>
        <w:spacing w:line="453"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 xml:space="preserve">八、供应期限 </w:t>
      </w:r>
    </w:p>
    <w:p w14:paraId="3E10DF55">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服务周期：本项目供应期限一年。 </w:t>
      </w:r>
    </w:p>
    <w:p w14:paraId="50BED15F">
      <w:pPr>
        <w:spacing w:line="453"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 xml:space="preserve">九、违约责任 </w:t>
      </w:r>
    </w:p>
    <w:p w14:paraId="4A2DA838">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1.因供应商原因未按时提供“采购计划单”中需交货的数量、质量等不符合合同约定，使采购人遭受损失或因此扰乱正常管理秩序的，供应商承担相应的违约责任，每次最低处 2000 元违约金，从当月结算货款中扣除。 </w:t>
      </w:r>
    </w:p>
    <w:p w14:paraId="3BE3C5D9">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2.采购人不定期对市场批发价格进行考察，如发现供应商所供产品价格有高于市场批发价的行为，第一次由食堂管理员与供应商协商解决，第二次予以警告并扣除当月货款中该产品总金额的30%，第三次扣除当月货款中该产品金额的50%。 </w:t>
      </w:r>
    </w:p>
    <w:p w14:paraId="52902C57">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供应商出现供货能力不足的现象以至采购人有证据证明供应商无继续履约能力，或供应商擅自将与采购人签订的供货项目提供给其他供应商的，采购人有权终止合同，并要求供应商对其违约行为给采购人造成的损失进行赔偿。</w:t>
      </w:r>
    </w:p>
    <w:p w14:paraId="3192F19B">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4.供应商提供物资的规格、卫生质量标准与合同规定不符时，采购人可以拒收，并向采购人偿付逾期货或少交部分商品总值的2％的违约金，违约金由供货结算款内扣除。若连续出现 3 次类似情况的，采购人有权终止合同。 </w:t>
      </w:r>
    </w:p>
    <w:p w14:paraId="66A515AB">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5.供应商提供假冒伪劣、过期、变质的、有毒食品的，一经发现，除无条件退货或换货外，还将受到如下处理： </w:t>
      </w:r>
    </w:p>
    <w:p w14:paraId="2D6D6D35">
      <w:pPr>
        <w:spacing w:line="453" w:lineRule="auto"/>
        <w:ind w:firstLine="480" w:firstLineChars="200"/>
        <w:rPr>
          <w:rFonts w:ascii="仿宋_GB2312" w:hAnsi="仿宋_GB2312" w:eastAsia="仿宋_GB2312" w:cs="仿宋_GB2312"/>
          <w:sz w:val="24"/>
        </w:rPr>
      </w:pPr>
      <w:r>
        <w:rPr>
          <w:rFonts w:hint="eastAsia" w:ascii="仿宋" w:hAnsi="仿宋" w:eastAsia="仿宋" w:cs="仿宋"/>
          <w:sz w:val="24"/>
        </w:rPr>
        <w:t>⑴</w:t>
      </w:r>
      <w:r>
        <w:rPr>
          <w:rFonts w:hint="eastAsia" w:ascii="仿宋_GB2312" w:hAnsi="仿宋_GB2312" w:eastAsia="仿宋_GB2312" w:cs="仿宋_GB2312"/>
          <w:sz w:val="24"/>
        </w:rPr>
        <w:t xml:space="preserve">供应商提供假冒伪劣、过期、变质食品的，要求无条件退货或换货外，被处以当次供应物资货款 2 倍的违约金，违约金由供货结算款内扣除。 </w:t>
      </w:r>
    </w:p>
    <w:p w14:paraId="1930EBF6">
      <w:pPr>
        <w:spacing w:line="453" w:lineRule="auto"/>
        <w:ind w:firstLine="480" w:firstLineChars="200"/>
        <w:rPr>
          <w:rFonts w:ascii="仿宋_GB2312" w:hAnsi="仿宋_GB2312" w:eastAsia="仿宋_GB2312" w:cs="仿宋_GB2312"/>
          <w:sz w:val="24"/>
        </w:rPr>
      </w:pPr>
      <w:r>
        <w:rPr>
          <w:rFonts w:hint="eastAsia" w:ascii="仿宋" w:hAnsi="仿宋" w:eastAsia="仿宋" w:cs="仿宋"/>
          <w:sz w:val="24"/>
        </w:rPr>
        <w:t>⑵</w:t>
      </w:r>
      <w:r>
        <w:rPr>
          <w:rFonts w:hint="eastAsia" w:ascii="仿宋_GB2312" w:hAnsi="仿宋_GB2312" w:eastAsia="仿宋_GB2312" w:cs="仿宋_GB2312"/>
          <w:sz w:val="24"/>
        </w:rPr>
        <w:t>供应商提供有毒食品的，造成食品安全事故的，经有关单位鉴定原因后， 如确实因供应商提供物资的问题，供应商除需负担全数之医药费，采购人无条件取消供应商供货资格，供应商同时承担相应的民事及刑事法律责任及放弃先诉抗辩权。</w:t>
      </w:r>
    </w:p>
    <w:p w14:paraId="629739B5">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6.供应商所供物资若为国家公布的伪劣产品，供应商须无条件更换，并承担全部费用及法律责任。 </w:t>
      </w:r>
    </w:p>
    <w:p w14:paraId="5808FE63">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7.采购人认为供应商所供物资质量与合同不符的，双方协商不成时，经鉴定所供物资确为伪劣商品的，采购人有权终止合同，供应商应承担货品的检测费用及违约费。 </w:t>
      </w:r>
    </w:p>
    <w:p w14:paraId="5A8F4BF7">
      <w:pPr>
        <w:spacing w:line="453" w:lineRule="auto"/>
        <w:ind w:firstLine="720"/>
        <w:rPr>
          <w:rFonts w:ascii="仿宋_GB2312" w:hAnsi="仿宋_GB2312" w:eastAsia="仿宋_GB2312" w:cs="仿宋_GB2312"/>
          <w:b/>
          <w:bCs/>
          <w:sz w:val="24"/>
        </w:rPr>
      </w:pPr>
      <w:r>
        <w:rPr>
          <w:rFonts w:hint="eastAsia" w:ascii="仿宋_GB2312" w:hAnsi="仿宋_GB2312" w:eastAsia="仿宋_GB2312" w:cs="仿宋_GB2312"/>
          <w:b/>
          <w:bCs/>
          <w:sz w:val="24"/>
        </w:rPr>
        <w:t>十、诚信管理考评</w:t>
      </w:r>
    </w:p>
    <w:p w14:paraId="6C3035DE">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供应商承诺在配送有效期内严格执行合同要求，出现失信行为的，按诚信管理机制接受处理。诚信管理机制包括：供应商在合同期内赋予10分的诚信分值。供应商出现下列情形，且经核查属实的，采购人将扣减其相应诚信分，并予以书面通知，扣分记录由采购人留存。</w:t>
      </w:r>
    </w:p>
    <w:p w14:paraId="2C278ADF">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1.违反《中华人民共和国食品安全法》规定，造成重大食品安全事故的，扣10分，并依法追究法律责任；</w:t>
      </w:r>
    </w:p>
    <w:p w14:paraId="57114952">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2.未经采购人同意，私自调换货物，一次扣5分；</w:t>
      </w:r>
    </w:p>
    <w:p w14:paraId="48FB8472">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3.向采购人管理、工作人员提供不正当利益的，一次扣5分；</w:t>
      </w:r>
    </w:p>
    <w:p w14:paraId="2F8F3572">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4.中标后转包的，发现一次扣10分；</w:t>
      </w:r>
    </w:p>
    <w:p w14:paraId="6075DBDC">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5.接受采购人下达的配送任务后，拒不执行或执行超过时限的，一次扣2分；</w:t>
      </w:r>
    </w:p>
    <w:p w14:paraId="5197A5EB">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6.因为供应商的责任出现数质量问题未在1小时内补换货的，一次扣1分；</w:t>
      </w:r>
    </w:p>
    <w:p w14:paraId="1C658273">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7.服务电话、投入本项目成员（包括项目负责人、联系人、配送人员等）、运输车辆更换不及时报备的，一次扣0.5分；</w:t>
      </w:r>
    </w:p>
    <w:p w14:paraId="5F4AC673">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8.因供应商原因，送货不及时或货物有质量问题影响到采购人正常工作、生活的，一次扣0.5分；</w:t>
      </w:r>
    </w:p>
    <w:p w14:paraId="15D92D7F">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9.在采购人发出临时供货（零星需求）通知后，供应商1小时内未完成当次现场供货的，一次扣0.5分；</w:t>
      </w:r>
    </w:p>
    <w:p w14:paraId="6B771282">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10.配送人员未穿着制式工作服的，1次扣0.2分；</w:t>
      </w:r>
    </w:p>
    <w:p w14:paraId="056AC12A">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11.配送联系人电话10分钟以内出现3次及以上未接通的，扣0.2分；</w:t>
      </w:r>
    </w:p>
    <w:p w14:paraId="50DADF12">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12.供应商每月第一周未开展满意度测评的扣1分，测评满意度低于85%的扣0.5分；</w:t>
      </w:r>
    </w:p>
    <w:p w14:paraId="2CFAA2B9">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13.供应商未按投标文件中承诺的配送服务方案定人定车进行配送，私自更换配送人员及车辆的，每次扣0.5分（更换后及时报备的不扣分）；</w:t>
      </w:r>
    </w:p>
    <w:p w14:paraId="32F84010">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14.供应商在服务过程中，未按投标文件承诺及合同中约定的条款进行服务的，每发现一次扣0.5分；</w:t>
      </w:r>
    </w:p>
    <w:p w14:paraId="67615E2D">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15.其他违规情形视情扣分。</w:t>
      </w:r>
    </w:p>
    <w:p w14:paraId="250BF871">
      <w:pPr>
        <w:spacing w:line="453" w:lineRule="auto"/>
        <w:ind w:firstLine="480" w:firstLineChars="200"/>
        <w:rPr>
          <w:rFonts w:ascii="仿宋_GB2312" w:hAnsi="仿宋_GB2312" w:eastAsia="仿宋_GB2312" w:cs="仿宋_GB2312"/>
          <w:b/>
          <w:bCs/>
          <w:sz w:val="24"/>
        </w:rPr>
      </w:pPr>
      <w:r>
        <w:rPr>
          <w:rFonts w:hint="eastAsia" w:ascii="仿宋_GB2312" w:hAnsi="仿宋_GB2312" w:eastAsia="仿宋_GB2312" w:cs="仿宋_GB2312"/>
          <w:sz w:val="24"/>
        </w:rPr>
        <w:t>合同有效期内，中标供应商有第1、4条情形的，一次性没收全部履约保证金并承担相应的法律责任和事故处理费用，立即终止合同，不允许参加本公司后续供应商资格招标；有第2、3条情形的，一次性没收40%履约保证金；其他条款扣分达到5分的，没收20%履约保证金，累计扣分达到10分的，没收40%履约保证金，视情取消合同，更换供应商。扣满10分后，再出现扣分问题，每扣0.5分扣除5%的履约保证金，履约保证金扣完后，强制终止合同，更换供应商。</w:t>
      </w:r>
    </w:p>
    <w:p w14:paraId="5D33026F">
      <w:pPr>
        <w:spacing w:line="453"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 xml:space="preserve">十一、其他要求 </w:t>
      </w:r>
    </w:p>
    <w:p w14:paraId="05EF4CE2">
      <w:pPr>
        <w:spacing w:line="453"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1.交货地点：采购人指定地点。 </w:t>
      </w:r>
    </w:p>
    <w:p w14:paraId="62EB4A9D">
      <w:pPr>
        <w:spacing w:line="453" w:lineRule="auto"/>
        <w:ind w:firstLine="480" w:firstLineChars="200"/>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sz w:val="24"/>
        </w:rPr>
        <w:t>2.付款方式：所供物资运送至采购人指定地点并经验收合格后，以经核定的“送货清单”数量明细，按月结算。结算前中选人应按结算金额及时提供相关票</w:t>
      </w:r>
      <w:r>
        <w:rPr>
          <w:rFonts w:hint="eastAsia" w:ascii="仿宋_GB2312" w:hAnsi="仿宋_GB2312" w:eastAsia="仿宋_GB2312" w:cs="仿宋_GB2312"/>
          <w:color w:val="000000" w:themeColor="text1"/>
          <w:sz w:val="24"/>
          <w14:textFill>
            <w14:solidFill>
              <w14:schemeClr w14:val="tx1"/>
            </w14:solidFill>
          </w14:textFill>
        </w:rPr>
        <w:t xml:space="preserve">据，采购人在收到供应商票据 30 日内支付货款。 </w:t>
      </w:r>
    </w:p>
    <w:p w14:paraId="26A49DB1">
      <w:pPr>
        <w:spacing w:line="453" w:lineRule="auto"/>
        <w:ind w:firstLine="480" w:firstLineChars="200"/>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3.中选公司其安排工作人员，需遵守衡阳市发展投资集团有限公司食堂管理制度。</w:t>
      </w:r>
    </w:p>
    <w:p w14:paraId="597888D4">
      <w:pPr>
        <w:spacing w:line="453" w:lineRule="auto"/>
        <w:ind w:firstLine="480" w:firstLineChars="200"/>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4.对于上述项目要求，投标人应在投标文件中进行回应，作出承诺及说明。</w:t>
      </w:r>
    </w:p>
    <w:p w14:paraId="59FBA8CC">
      <w:pPr>
        <w:spacing w:line="453" w:lineRule="auto"/>
        <w:ind w:firstLine="480" w:firstLineChars="200"/>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5.未尽事宜，由双方协商解决。 </w:t>
      </w:r>
    </w:p>
    <w:p w14:paraId="41204DC5">
      <w:pPr>
        <w:rPr>
          <w:rFonts w:ascii="仿宋_GB2312" w:hAnsi="仿宋_GB2312" w:eastAsia="仿宋_GB2312" w:cs="仿宋_GB2312"/>
          <w:color w:val="000000" w:themeColor="text1"/>
          <w14:textFill>
            <w14:solidFill>
              <w14:schemeClr w14:val="tx1"/>
            </w14:solidFill>
          </w14:textFill>
        </w:rPr>
      </w:pPr>
    </w:p>
    <w:p w14:paraId="2B198875">
      <w:pPr>
        <w:pStyle w:val="24"/>
        <w:rPr>
          <w:color w:val="auto"/>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CA9BAC-E3F2-428D-BBD0-CEAA1AAA5F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0DD5DDC-B732-4097-9D01-CC586F39CDE9}"/>
  </w:font>
  <w:font w:name="Arial Unicode MS">
    <w:panose1 w:val="020B0604020202020204"/>
    <w:charset w:val="86"/>
    <w:family w:val="swiss"/>
    <w:pitch w:val="default"/>
    <w:sig w:usb0="FFFFFFFF" w:usb1="E9FFFFFF" w:usb2="0000003F" w:usb3="00000000" w:csb0="603F01FF" w:csb1="FFFF0000"/>
    <w:embedRegular r:id="rId3" w:fontKey="{6189EC9E-D85F-44B7-95E3-5F5D5FADC259}"/>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D1F16D6C-D50D-4E50-9D20-985B76FEBFF1}"/>
  </w:font>
  <w:font w:name="方正小标宋_GBK">
    <w:panose1 w:val="02000000000000000000"/>
    <w:charset w:val="86"/>
    <w:family w:val="auto"/>
    <w:pitch w:val="default"/>
    <w:sig w:usb0="A00002BF" w:usb1="38CF7CFA" w:usb2="00082016" w:usb3="00000000" w:csb0="00040001" w:csb1="00000000"/>
    <w:embedRegular r:id="rId5" w:fontKey="{B51529ED-63BA-41F5-B754-D95E488056BD}"/>
  </w:font>
  <w:font w:name="华文中宋">
    <w:panose1 w:val="02010600040101010101"/>
    <w:charset w:val="86"/>
    <w:family w:val="auto"/>
    <w:pitch w:val="default"/>
    <w:sig w:usb0="00000287" w:usb1="080F0000" w:usb2="00000000" w:usb3="00000000" w:csb0="0004009F" w:csb1="DFD70000"/>
    <w:embedRegular r:id="rId6" w:fontKey="{F8271AC9-A29C-4C3A-8B42-D0D6726D8020}"/>
  </w:font>
  <w:font w:name="仿宋">
    <w:panose1 w:val="02010609060101010101"/>
    <w:charset w:val="86"/>
    <w:family w:val="modern"/>
    <w:pitch w:val="default"/>
    <w:sig w:usb0="800002BF" w:usb1="38CF7CFA" w:usb2="00000016" w:usb3="00000000" w:csb0="00040001" w:csb1="00000000"/>
    <w:embedRegular r:id="rId7" w:fontKey="{A5682664-AB9E-4348-AC9D-914354AFAA1F}"/>
  </w:font>
  <w:font w:name="方正公文小标宋">
    <w:panose1 w:val="02000500000000000000"/>
    <w:charset w:val="86"/>
    <w:family w:val="auto"/>
    <w:pitch w:val="default"/>
    <w:sig w:usb0="A00002BF" w:usb1="38CF7CFA" w:usb2="00000016" w:usb3="00000000" w:csb0="00040001" w:csb1="00000000"/>
    <w:embedRegular r:id="rId8" w:fontKey="{D07B3E66-9A13-43A5-B828-ECBACA01A1D6}"/>
  </w:font>
  <w:font w:name="华文仿宋">
    <w:panose1 w:val="02010600040101010101"/>
    <w:charset w:val="86"/>
    <w:family w:val="auto"/>
    <w:pitch w:val="default"/>
    <w:sig w:usb0="00000287" w:usb1="080F0000" w:usb2="00000000" w:usb3="00000000" w:csb0="0004009F" w:csb1="DFD70000"/>
    <w:embedRegular r:id="rId9" w:fontKey="{4A0AC8BE-5D24-4DF0-B8DE-08AB9414CC36}"/>
  </w:font>
  <w:font w:name="微软雅黑">
    <w:panose1 w:val="020B0503020204020204"/>
    <w:charset w:val="86"/>
    <w:family w:val="auto"/>
    <w:pitch w:val="default"/>
    <w:sig w:usb0="80000287" w:usb1="2ACF3C50" w:usb2="00000016" w:usb3="00000000" w:csb0="0004001F" w:csb1="00000000"/>
    <w:embedRegular r:id="rId10" w:fontKey="{57CB7EC1-E384-4F67-B4F0-DD2A1701FC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BED6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ECA86">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4BD37A">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D4BD37A">
                    <w:pPr>
                      <w:pStyle w:val="14"/>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E7035">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202098">
                          <w:pPr>
                            <w:pStyle w:val="14"/>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7202098">
                    <w:pPr>
                      <w:pStyle w:val="14"/>
                    </w:pPr>
                    <w:r>
                      <w:t xml:space="preserve">— </w:t>
                    </w:r>
                    <w:r>
                      <w:fldChar w:fldCharType="begin"/>
                    </w:r>
                    <w:r>
                      <w:instrText xml:space="preserve"> PAGE  \* MERGEFORMAT </w:instrText>
                    </w:r>
                    <w:r>
                      <w:fldChar w:fldCharType="separate"/>
                    </w:r>
                    <w:r>
                      <w:t>24</w:t>
                    </w:r>
                    <w:r>
                      <w:fldChar w:fldCharType="end"/>
                    </w:r>
                    <w: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3A642">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0F3A642">
                    <w:pPr>
                      <w:pStyle w:val="1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9B90A">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A95">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E1386">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79034">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6e44a46b-b768-47ad-99b1-b72e2c931d8e&amp;fileid=122820&amp;type=document&amp;isofficeview=0"/>
  </w:docVars>
  <w:rsids>
    <w:rsidRoot w:val="6E8513F5"/>
    <w:rsid w:val="00022FAE"/>
    <w:rsid w:val="000273CC"/>
    <w:rsid w:val="00125861"/>
    <w:rsid w:val="001B0724"/>
    <w:rsid w:val="001E2592"/>
    <w:rsid w:val="004E2611"/>
    <w:rsid w:val="00566F5F"/>
    <w:rsid w:val="00577CA6"/>
    <w:rsid w:val="005C74B9"/>
    <w:rsid w:val="006275E2"/>
    <w:rsid w:val="00666629"/>
    <w:rsid w:val="00727D87"/>
    <w:rsid w:val="00942B50"/>
    <w:rsid w:val="00953D9C"/>
    <w:rsid w:val="009543B1"/>
    <w:rsid w:val="0097492C"/>
    <w:rsid w:val="00B04107"/>
    <w:rsid w:val="00BD5831"/>
    <w:rsid w:val="00CF1D6C"/>
    <w:rsid w:val="00EF7950"/>
    <w:rsid w:val="011A24F4"/>
    <w:rsid w:val="011E3478"/>
    <w:rsid w:val="01500697"/>
    <w:rsid w:val="018E53BB"/>
    <w:rsid w:val="01A8210A"/>
    <w:rsid w:val="01B841E6"/>
    <w:rsid w:val="01B96DFD"/>
    <w:rsid w:val="01FC3891"/>
    <w:rsid w:val="022E7E09"/>
    <w:rsid w:val="02330306"/>
    <w:rsid w:val="02375428"/>
    <w:rsid w:val="02566131"/>
    <w:rsid w:val="02761F3B"/>
    <w:rsid w:val="02897931"/>
    <w:rsid w:val="029A7D90"/>
    <w:rsid w:val="02C32E43"/>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396B56"/>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369A2"/>
    <w:rsid w:val="076D7821"/>
    <w:rsid w:val="079254DA"/>
    <w:rsid w:val="080923AB"/>
    <w:rsid w:val="081E4F5F"/>
    <w:rsid w:val="0882284B"/>
    <w:rsid w:val="08A16ACD"/>
    <w:rsid w:val="08C72F61"/>
    <w:rsid w:val="08C92C2E"/>
    <w:rsid w:val="08D35DAA"/>
    <w:rsid w:val="08ED1EAA"/>
    <w:rsid w:val="090651C1"/>
    <w:rsid w:val="090F782C"/>
    <w:rsid w:val="093F333A"/>
    <w:rsid w:val="09715E3C"/>
    <w:rsid w:val="097737F5"/>
    <w:rsid w:val="099C43EE"/>
    <w:rsid w:val="09A514F4"/>
    <w:rsid w:val="09A51D4C"/>
    <w:rsid w:val="09B352D3"/>
    <w:rsid w:val="09C20233"/>
    <w:rsid w:val="09D45935"/>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208E4"/>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21F3E0E"/>
    <w:rsid w:val="123C43E8"/>
    <w:rsid w:val="125267B3"/>
    <w:rsid w:val="127952CC"/>
    <w:rsid w:val="12861ED5"/>
    <w:rsid w:val="12A367ED"/>
    <w:rsid w:val="12E74E6B"/>
    <w:rsid w:val="12EB782C"/>
    <w:rsid w:val="12FD500A"/>
    <w:rsid w:val="13083BA5"/>
    <w:rsid w:val="135E44C2"/>
    <w:rsid w:val="1367708D"/>
    <w:rsid w:val="136B45C6"/>
    <w:rsid w:val="136F0023"/>
    <w:rsid w:val="138A3509"/>
    <w:rsid w:val="13976F69"/>
    <w:rsid w:val="13A84674"/>
    <w:rsid w:val="13AB14E0"/>
    <w:rsid w:val="13C644D5"/>
    <w:rsid w:val="13D84274"/>
    <w:rsid w:val="140521A4"/>
    <w:rsid w:val="14064C7E"/>
    <w:rsid w:val="14092AC4"/>
    <w:rsid w:val="140A3F18"/>
    <w:rsid w:val="141244E8"/>
    <w:rsid w:val="14172FEE"/>
    <w:rsid w:val="142474B9"/>
    <w:rsid w:val="146141DF"/>
    <w:rsid w:val="14665D24"/>
    <w:rsid w:val="147D0074"/>
    <w:rsid w:val="148D578D"/>
    <w:rsid w:val="149D67AA"/>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D53E4"/>
    <w:rsid w:val="17D24C75"/>
    <w:rsid w:val="17F727BA"/>
    <w:rsid w:val="17F7717D"/>
    <w:rsid w:val="1806190D"/>
    <w:rsid w:val="181D494B"/>
    <w:rsid w:val="18761BDB"/>
    <w:rsid w:val="18812545"/>
    <w:rsid w:val="18BC5F12"/>
    <w:rsid w:val="18D22DC9"/>
    <w:rsid w:val="18E13BCB"/>
    <w:rsid w:val="18EE62E8"/>
    <w:rsid w:val="190F698A"/>
    <w:rsid w:val="193066BD"/>
    <w:rsid w:val="19474B83"/>
    <w:rsid w:val="19AF29F7"/>
    <w:rsid w:val="19AF4536"/>
    <w:rsid w:val="19B6182A"/>
    <w:rsid w:val="19D35C0A"/>
    <w:rsid w:val="19EF24A3"/>
    <w:rsid w:val="1A364C38"/>
    <w:rsid w:val="1A5A58B6"/>
    <w:rsid w:val="1A687CD6"/>
    <w:rsid w:val="1A8E48BD"/>
    <w:rsid w:val="1AF35C55"/>
    <w:rsid w:val="1B027E29"/>
    <w:rsid w:val="1B2045DC"/>
    <w:rsid w:val="1B456946"/>
    <w:rsid w:val="1B4F51DF"/>
    <w:rsid w:val="1B6D0ED3"/>
    <w:rsid w:val="1B7E1BA5"/>
    <w:rsid w:val="1B7F06C9"/>
    <w:rsid w:val="1BA86C22"/>
    <w:rsid w:val="1BC3660E"/>
    <w:rsid w:val="1C3A159B"/>
    <w:rsid w:val="1C7020CB"/>
    <w:rsid w:val="1CCE7468"/>
    <w:rsid w:val="1CD87093"/>
    <w:rsid w:val="1D185B91"/>
    <w:rsid w:val="1D1C3424"/>
    <w:rsid w:val="1D497F91"/>
    <w:rsid w:val="1D4F5CE8"/>
    <w:rsid w:val="1D6E4A05"/>
    <w:rsid w:val="1D743260"/>
    <w:rsid w:val="1DA227A9"/>
    <w:rsid w:val="1DBF79E1"/>
    <w:rsid w:val="1DFB128B"/>
    <w:rsid w:val="1E256308"/>
    <w:rsid w:val="1E3F4B15"/>
    <w:rsid w:val="1E40188A"/>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067800"/>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5135F5"/>
    <w:rsid w:val="247E2C16"/>
    <w:rsid w:val="249266C1"/>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326E"/>
    <w:rsid w:val="287A2A85"/>
    <w:rsid w:val="2886653D"/>
    <w:rsid w:val="28956780"/>
    <w:rsid w:val="28A54C15"/>
    <w:rsid w:val="28CD7CC8"/>
    <w:rsid w:val="28E26544"/>
    <w:rsid w:val="28F2772E"/>
    <w:rsid w:val="28F416F8"/>
    <w:rsid w:val="290E4B79"/>
    <w:rsid w:val="2916341D"/>
    <w:rsid w:val="292956A6"/>
    <w:rsid w:val="29733D0B"/>
    <w:rsid w:val="29855014"/>
    <w:rsid w:val="29D054FB"/>
    <w:rsid w:val="29F71279"/>
    <w:rsid w:val="2A07200A"/>
    <w:rsid w:val="2A107348"/>
    <w:rsid w:val="2A6A0FC9"/>
    <w:rsid w:val="2AA0743E"/>
    <w:rsid w:val="2AAE2211"/>
    <w:rsid w:val="2ABD2874"/>
    <w:rsid w:val="2ACE06A4"/>
    <w:rsid w:val="2AE15CAC"/>
    <w:rsid w:val="2B295022"/>
    <w:rsid w:val="2B3D7387"/>
    <w:rsid w:val="2B5B780D"/>
    <w:rsid w:val="2B74267D"/>
    <w:rsid w:val="2B7B4B38"/>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192F19"/>
    <w:rsid w:val="2E2A34C6"/>
    <w:rsid w:val="2E3F51C4"/>
    <w:rsid w:val="2E463EBE"/>
    <w:rsid w:val="2E4A0987"/>
    <w:rsid w:val="2EBE2687"/>
    <w:rsid w:val="2F08082A"/>
    <w:rsid w:val="2F236894"/>
    <w:rsid w:val="2F350A84"/>
    <w:rsid w:val="2F454D87"/>
    <w:rsid w:val="2F464330"/>
    <w:rsid w:val="2F4B7B98"/>
    <w:rsid w:val="2F561FC3"/>
    <w:rsid w:val="2F68200A"/>
    <w:rsid w:val="2F6D396B"/>
    <w:rsid w:val="2F760342"/>
    <w:rsid w:val="2F7D2448"/>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842AA"/>
    <w:rsid w:val="341B4A8C"/>
    <w:rsid w:val="342A40F6"/>
    <w:rsid w:val="343B642D"/>
    <w:rsid w:val="344D6161"/>
    <w:rsid w:val="346F2688"/>
    <w:rsid w:val="348C7C8B"/>
    <w:rsid w:val="349B511E"/>
    <w:rsid w:val="34CC177B"/>
    <w:rsid w:val="34E13437"/>
    <w:rsid w:val="34F13EEA"/>
    <w:rsid w:val="34FE7D24"/>
    <w:rsid w:val="350324ED"/>
    <w:rsid w:val="351D2DDF"/>
    <w:rsid w:val="3541482A"/>
    <w:rsid w:val="3558300F"/>
    <w:rsid w:val="35633E8E"/>
    <w:rsid w:val="357A6B67"/>
    <w:rsid w:val="358E5AF3"/>
    <w:rsid w:val="35CD57AB"/>
    <w:rsid w:val="35EE06C2"/>
    <w:rsid w:val="35FC6420"/>
    <w:rsid w:val="36877708"/>
    <w:rsid w:val="369752F7"/>
    <w:rsid w:val="36BD11F9"/>
    <w:rsid w:val="371B60A2"/>
    <w:rsid w:val="37495343"/>
    <w:rsid w:val="37515F68"/>
    <w:rsid w:val="375C0B95"/>
    <w:rsid w:val="37647A49"/>
    <w:rsid w:val="37712AB1"/>
    <w:rsid w:val="378431AA"/>
    <w:rsid w:val="37A91900"/>
    <w:rsid w:val="37EA0AA2"/>
    <w:rsid w:val="382014AF"/>
    <w:rsid w:val="385C3F6F"/>
    <w:rsid w:val="388C54AA"/>
    <w:rsid w:val="389D0460"/>
    <w:rsid w:val="38DE5291"/>
    <w:rsid w:val="3916393F"/>
    <w:rsid w:val="3926472A"/>
    <w:rsid w:val="394B239C"/>
    <w:rsid w:val="396226AE"/>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34302"/>
    <w:rsid w:val="3B3D6F2F"/>
    <w:rsid w:val="3B5E12EE"/>
    <w:rsid w:val="3B6E63CB"/>
    <w:rsid w:val="3B8907CC"/>
    <w:rsid w:val="3B9A612F"/>
    <w:rsid w:val="3B9E4539"/>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D8802DB"/>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13B4B1F"/>
    <w:rsid w:val="4149060F"/>
    <w:rsid w:val="41531E07"/>
    <w:rsid w:val="416074D3"/>
    <w:rsid w:val="4163290A"/>
    <w:rsid w:val="416760A6"/>
    <w:rsid w:val="41760AA5"/>
    <w:rsid w:val="41967946"/>
    <w:rsid w:val="41A26D98"/>
    <w:rsid w:val="41CE268F"/>
    <w:rsid w:val="41DB1CB4"/>
    <w:rsid w:val="41F076C9"/>
    <w:rsid w:val="41F60AD4"/>
    <w:rsid w:val="42311E19"/>
    <w:rsid w:val="42914579"/>
    <w:rsid w:val="429B2C49"/>
    <w:rsid w:val="42C54FDF"/>
    <w:rsid w:val="42D2382D"/>
    <w:rsid w:val="42EC2600"/>
    <w:rsid w:val="430A0B4C"/>
    <w:rsid w:val="43497172"/>
    <w:rsid w:val="434B6EF0"/>
    <w:rsid w:val="43C83EB2"/>
    <w:rsid w:val="43FE2FD4"/>
    <w:rsid w:val="445B2CE2"/>
    <w:rsid w:val="448A0963"/>
    <w:rsid w:val="44B02520"/>
    <w:rsid w:val="44D212AD"/>
    <w:rsid w:val="44EF2547"/>
    <w:rsid w:val="450B1E4C"/>
    <w:rsid w:val="45376375"/>
    <w:rsid w:val="45410CB2"/>
    <w:rsid w:val="454E5E7D"/>
    <w:rsid w:val="455A06DD"/>
    <w:rsid w:val="459C0CF6"/>
    <w:rsid w:val="45A007E6"/>
    <w:rsid w:val="45B147A1"/>
    <w:rsid w:val="45BB5620"/>
    <w:rsid w:val="45D115DB"/>
    <w:rsid w:val="460F771A"/>
    <w:rsid w:val="463C0A2D"/>
    <w:rsid w:val="46790470"/>
    <w:rsid w:val="467D3251"/>
    <w:rsid w:val="469519CD"/>
    <w:rsid w:val="46E979A2"/>
    <w:rsid w:val="46FC3DF0"/>
    <w:rsid w:val="47080B70"/>
    <w:rsid w:val="471F398D"/>
    <w:rsid w:val="47472F21"/>
    <w:rsid w:val="475C698F"/>
    <w:rsid w:val="479A77C1"/>
    <w:rsid w:val="47AD2F03"/>
    <w:rsid w:val="47B24BA1"/>
    <w:rsid w:val="47E55BC7"/>
    <w:rsid w:val="47FE634A"/>
    <w:rsid w:val="4836117E"/>
    <w:rsid w:val="484F781F"/>
    <w:rsid w:val="486A50DB"/>
    <w:rsid w:val="487230E1"/>
    <w:rsid w:val="48A71838"/>
    <w:rsid w:val="490B41C9"/>
    <w:rsid w:val="49282FCC"/>
    <w:rsid w:val="494A0AAA"/>
    <w:rsid w:val="496E51FF"/>
    <w:rsid w:val="4971418B"/>
    <w:rsid w:val="498E0B70"/>
    <w:rsid w:val="499C6CC0"/>
    <w:rsid w:val="49C36851"/>
    <w:rsid w:val="49F20EE5"/>
    <w:rsid w:val="4A056E6A"/>
    <w:rsid w:val="4A4048B6"/>
    <w:rsid w:val="4A5B358F"/>
    <w:rsid w:val="4A670C31"/>
    <w:rsid w:val="4A8731C5"/>
    <w:rsid w:val="4ADC72BE"/>
    <w:rsid w:val="4AF64A04"/>
    <w:rsid w:val="4B185640"/>
    <w:rsid w:val="4B3469EB"/>
    <w:rsid w:val="4B653A82"/>
    <w:rsid w:val="4B897627"/>
    <w:rsid w:val="4BBE4F6C"/>
    <w:rsid w:val="4C196BFC"/>
    <w:rsid w:val="4C687B84"/>
    <w:rsid w:val="4C6E6818"/>
    <w:rsid w:val="4CD73CAA"/>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0B3174"/>
    <w:rsid w:val="4F2C7509"/>
    <w:rsid w:val="4F566175"/>
    <w:rsid w:val="4F635353"/>
    <w:rsid w:val="4F897338"/>
    <w:rsid w:val="4FE15C83"/>
    <w:rsid w:val="4FE966F0"/>
    <w:rsid w:val="501E2AF4"/>
    <w:rsid w:val="50295C43"/>
    <w:rsid w:val="506D7517"/>
    <w:rsid w:val="50753961"/>
    <w:rsid w:val="5076676F"/>
    <w:rsid w:val="508A6E37"/>
    <w:rsid w:val="50C57353"/>
    <w:rsid w:val="50CE7D3D"/>
    <w:rsid w:val="50F639B0"/>
    <w:rsid w:val="50FB5F32"/>
    <w:rsid w:val="510175B8"/>
    <w:rsid w:val="510E4700"/>
    <w:rsid w:val="51145BE4"/>
    <w:rsid w:val="51165E00"/>
    <w:rsid w:val="512155DC"/>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72193F"/>
    <w:rsid w:val="549D01C5"/>
    <w:rsid w:val="54A0435F"/>
    <w:rsid w:val="54A60154"/>
    <w:rsid w:val="54F40D0A"/>
    <w:rsid w:val="55382BA4"/>
    <w:rsid w:val="5593065D"/>
    <w:rsid w:val="55BE4C30"/>
    <w:rsid w:val="55D7555A"/>
    <w:rsid w:val="55E0078B"/>
    <w:rsid w:val="560324CA"/>
    <w:rsid w:val="567E2550"/>
    <w:rsid w:val="56AB2B47"/>
    <w:rsid w:val="56F15EAF"/>
    <w:rsid w:val="57201787"/>
    <w:rsid w:val="57305E0A"/>
    <w:rsid w:val="575E22AF"/>
    <w:rsid w:val="57B00D9C"/>
    <w:rsid w:val="57D139A2"/>
    <w:rsid w:val="57DE0CFA"/>
    <w:rsid w:val="58077BC8"/>
    <w:rsid w:val="580C2B72"/>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52528A"/>
    <w:rsid w:val="5F747934"/>
    <w:rsid w:val="5F872946"/>
    <w:rsid w:val="5F933F51"/>
    <w:rsid w:val="5FEC48FC"/>
    <w:rsid w:val="601654D5"/>
    <w:rsid w:val="60261490"/>
    <w:rsid w:val="603658A5"/>
    <w:rsid w:val="60A62FEE"/>
    <w:rsid w:val="60AA5873"/>
    <w:rsid w:val="60AC4BD0"/>
    <w:rsid w:val="615564D1"/>
    <w:rsid w:val="61565DA5"/>
    <w:rsid w:val="61B72597"/>
    <w:rsid w:val="61D770D4"/>
    <w:rsid w:val="61DE0EB4"/>
    <w:rsid w:val="62154B1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B4350F"/>
    <w:rsid w:val="64C13892"/>
    <w:rsid w:val="64D811DF"/>
    <w:rsid w:val="65393A14"/>
    <w:rsid w:val="653C53F5"/>
    <w:rsid w:val="653D3504"/>
    <w:rsid w:val="653E102A"/>
    <w:rsid w:val="655414F5"/>
    <w:rsid w:val="655C3B7E"/>
    <w:rsid w:val="655D5954"/>
    <w:rsid w:val="656C3F5A"/>
    <w:rsid w:val="657038D9"/>
    <w:rsid w:val="6578453C"/>
    <w:rsid w:val="657F58CB"/>
    <w:rsid w:val="659A588A"/>
    <w:rsid w:val="6647071F"/>
    <w:rsid w:val="66822308"/>
    <w:rsid w:val="66B55440"/>
    <w:rsid w:val="66C73B2F"/>
    <w:rsid w:val="67027FFB"/>
    <w:rsid w:val="670A5668"/>
    <w:rsid w:val="671F0122"/>
    <w:rsid w:val="67720763"/>
    <w:rsid w:val="677A27ED"/>
    <w:rsid w:val="6799749C"/>
    <w:rsid w:val="67BD6B7E"/>
    <w:rsid w:val="680D70EE"/>
    <w:rsid w:val="68362271"/>
    <w:rsid w:val="68541290"/>
    <w:rsid w:val="6867713B"/>
    <w:rsid w:val="68695DE6"/>
    <w:rsid w:val="68816331"/>
    <w:rsid w:val="68BA0AEE"/>
    <w:rsid w:val="68BB3DB9"/>
    <w:rsid w:val="68ED02CC"/>
    <w:rsid w:val="68F55EA4"/>
    <w:rsid w:val="69110F2F"/>
    <w:rsid w:val="69763488"/>
    <w:rsid w:val="69782D5D"/>
    <w:rsid w:val="69955386"/>
    <w:rsid w:val="69E44896"/>
    <w:rsid w:val="6A65682A"/>
    <w:rsid w:val="6A783234"/>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C19757C"/>
    <w:rsid w:val="6C2172E3"/>
    <w:rsid w:val="6C2E1DF8"/>
    <w:rsid w:val="6C674161"/>
    <w:rsid w:val="6C9B184C"/>
    <w:rsid w:val="6CB83AF0"/>
    <w:rsid w:val="6CC62031"/>
    <w:rsid w:val="6CCD7863"/>
    <w:rsid w:val="6CE41A5D"/>
    <w:rsid w:val="6CEA54EF"/>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9A01E8"/>
    <w:rsid w:val="72E64B19"/>
    <w:rsid w:val="72E72D01"/>
    <w:rsid w:val="73274D6C"/>
    <w:rsid w:val="7344188A"/>
    <w:rsid w:val="734750AB"/>
    <w:rsid w:val="73F7090D"/>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F00C3"/>
    <w:rsid w:val="78A07BDA"/>
    <w:rsid w:val="78E33BC5"/>
    <w:rsid w:val="78FF0DA4"/>
    <w:rsid w:val="79687F5D"/>
    <w:rsid w:val="79986B03"/>
    <w:rsid w:val="79E021C9"/>
    <w:rsid w:val="79FB699C"/>
    <w:rsid w:val="7A186CB8"/>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850C1"/>
    <w:rsid w:val="7DDE5692"/>
    <w:rsid w:val="7DE60C95"/>
    <w:rsid w:val="7E092DCD"/>
    <w:rsid w:val="7E1C6DB5"/>
    <w:rsid w:val="7E215319"/>
    <w:rsid w:val="7E2412AD"/>
    <w:rsid w:val="7E5535E0"/>
    <w:rsid w:val="7E7347A5"/>
    <w:rsid w:val="7E9C0FCE"/>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Arial Unicode MS"/>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6"/>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 w:type="paragraph" w:customStyle="1" w:styleId="38">
    <w:name w:val="Normal_17"/>
    <w:basedOn w:val="1"/>
    <w:qFormat/>
    <w:uiPriority w:val="0"/>
    <w:rPr>
      <w:rFonts w:ascii="Calibri" w:hAnsi="Calibri" w:cs="Calibri"/>
      <w:szCs w:val="21"/>
    </w:rPr>
  </w:style>
  <w:style w:type="paragraph" w:customStyle="1" w:styleId="39">
    <w:name w:val="Normal_16"/>
    <w:basedOn w:val="1"/>
    <w:qFormat/>
    <w:uiPriority w:val="0"/>
    <w:pPr>
      <w:widowControl/>
      <w:jc w:val="left"/>
    </w:pPr>
    <w:rPr>
      <w:kern w:val="0"/>
      <w:sz w:val="24"/>
    </w:rPr>
  </w:style>
  <w:style w:type="paragraph" w:customStyle="1" w:styleId="40">
    <w:name w:val="Normal"/>
    <w:basedOn w:val="1"/>
    <w:qFormat/>
    <w:uiPriority w:val="0"/>
    <w:pPr>
      <w:widowControl/>
    </w:pPr>
    <w:rPr>
      <w:szCs w:val="21"/>
    </w:rPr>
  </w:style>
  <w:style w:type="character" w:customStyle="1" w:styleId="41">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6006</Words>
  <Characters>6232</Characters>
  <Lines>22</Lines>
  <Paragraphs>38</Paragraphs>
  <TotalTime>4</TotalTime>
  <ScaleCrop>false</ScaleCrop>
  <LinksUpToDate>false</LinksUpToDate>
  <CharactersWithSpaces>6741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2024-12-12T09:18:00Z</dcterms:created>
  <dc:creator>Administrator</dc:creator>
  <cp:lastModifiedBy>_盟</cp:lastModifiedBy>
  <cp:lastPrinted>2024-11-26T09:04:00Z</cp:lastPrinted>
  <dcterms:modified xsi:type="dcterms:W3CDTF">2024-12-18T13:26:07Z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235A4186CB1846E0921314C2A3F8A2BB_13</vt:lpwstr>
  </property>
</Properties>
</file>