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8373A">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bookmarkStart w:id="0" w:name="_GoBack"/>
      <w:bookmarkEnd w:id="0"/>
    </w:p>
    <w:p w14:paraId="40BF9EB2">
      <w:pPr>
        <w:pStyle w:val="17"/>
        <w:rPr>
          <w:rFonts w:hint="eastAsia"/>
          <w:lang w:val="en-US" w:eastAsia="zh-CN"/>
        </w:rPr>
      </w:pPr>
    </w:p>
    <w:p w14:paraId="7705384D">
      <w:pPr>
        <w:spacing w:line="360" w:lineRule="auto"/>
        <w:jc w:val="center"/>
        <w:rPr>
          <w:rFonts w:hint="default" w:ascii="方正小标宋_GBK" w:hAnsi="方正小标宋_GBK" w:eastAsia="方正小标宋_GBK" w:cs="方正小标宋_GBK"/>
          <w:b w:val="0"/>
          <w:bCs/>
          <w:sz w:val="56"/>
          <w:szCs w:val="56"/>
          <w:highlight w:val="none"/>
          <w:lang w:val="en-US" w:eastAsia="zh-CN"/>
        </w:rPr>
      </w:pPr>
      <w:r>
        <w:rPr>
          <w:rFonts w:hint="eastAsia" w:ascii="方正小标宋_GBK" w:hAnsi="方正小标宋_GBK" w:eastAsia="方正小标宋_GBK" w:cs="方正小标宋_GBK"/>
          <w:color w:val="auto"/>
          <w:sz w:val="40"/>
          <w:szCs w:val="40"/>
          <w:u w:val="single"/>
          <w:lang w:val="en-US" w:eastAsia="zh-CN"/>
        </w:rPr>
        <w:t>衡阳国投第三方安全服务机构比选</w:t>
      </w:r>
      <w:r>
        <w:rPr>
          <w:rFonts w:hint="eastAsia" w:ascii="方正小标宋_GBK" w:hAnsi="方正小标宋_GBK" w:eastAsia="方正小标宋_GBK" w:cs="方正小标宋_GBK"/>
          <w:b w:val="0"/>
          <w:bCs/>
          <w:kern w:val="2"/>
          <w:sz w:val="40"/>
          <w:szCs w:val="32"/>
          <w:highlight w:val="none"/>
          <w:lang w:val="en-US" w:eastAsia="zh-CN" w:bidi="ar-SA"/>
        </w:rPr>
        <w:t>项目</w:t>
      </w:r>
    </w:p>
    <w:p w14:paraId="25FBCBE8">
      <w:pPr>
        <w:pStyle w:val="12"/>
        <w:ind w:left="0" w:leftChars="0" w:firstLine="0" w:firstLineChars="0"/>
        <w:rPr>
          <w:sz w:val="36"/>
          <w:szCs w:val="36"/>
          <w:highlight w:val="none"/>
        </w:rPr>
      </w:pPr>
    </w:p>
    <w:p w14:paraId="76F9F0C1">
      <w:pPr>
        <w:pStyle w:val="9"/>
        <w:spacing w:line="480" w:lineRule="exact"/>
        <w:ind w:left="0" w:leftChars="0"/>
        <w:jc w:val="center"/>
        <w:rPr>
          <w:rFonts w:hint="eastAsia" w:ascii="华文中宋" w:hAnsi="华文中宋" w:eastAsia="华文中宋"/>
          <w:b/>
          <w:sz w:val="48"/>
          <w:szCs w:val="48"/>
          <w:highlight w:val="none"/>
        </w:rPr>
      </w:pPr>
    </w:p>
    <w:p w14:paraId="2BBB2446">
      <w:pPr>
        <w:pStyle w:val="10"/>
        <w:rPr>
          <w:rFonts w:hint="eastAsia"/>
        </w:rPr>
      </w:pPr>
    </w:p>
    <w:p w14:paraId="41F64A67">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p>
    <w:p w14:paraId="3B250B7B">
      <w:pPr>
        <w:pStyle w:val="10"/>
        <w:rPr>
          <w:rFonts w:hint="eastAsia"/>
          <w:highlight w:val="none"/>
        </w:rPr>
      </w:pPr>
    </w:p>
    <w:p w14:paraId="51B421B6">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407A0B4">
      <w:pPr>
        <w:pStyle w:val="12"/>
        <w:ind w:firstLine="964"/>
        <w:rPr>
          <w:rFonts w:hint="eastAsia" w:ascii="方正小标宋_GBK" w:hAnsi="方正小标宋_GBK" w:eastAsia="方正小标宋_GBK" w:cs="方正小标宋_GBK"/>
          <w:b/>
          <w:color w:val="auto"/>
          <w:kern w:val="2"/>
          <w:sz w:val="44"/>
          <w:szCs w:val="44"/>
          <w:highlight w:val="none"/>
        </w:rPr>
      </w:pPr>
    </w:p>
    <w:p w14:paraId="005E3748">
      <w:pPr>
        <w:pStyle w:val="9"/>
        <w:spacing w:line="480" w:lineRule="exact"/>
        <w:ind w:left="0" w:leftChars="0"/>
        <w:jc w:val="center"/>
        <w:rPr>
          <w:rFonts w:hint="eastAsia" w:ascii="方正小标宋_GBK" w:hAnsi="方正小标宋_GBK" w:eastAsia="方正小标宋_GBK" w:cs="方正小标宋_GBK"/>
          <w:b/>
          <w:sz w:val="48"/>
          <w:szCs w:val="48"/>
          <w:highlight w:val="none"/>
          <w:lang w:val="en-US" w:eastAsia="zh-CN"/>
        </w:rPr>
      </w:pPr>
      <w:r>
        <w:rPr>
          <w:rFonts w:hint="eastAsia" w:ascii="方正小标宋_GBK" w:hAnsi="方正小标宋_GBK" w:eastAsia="方正小标宋_GBK" w:cs="方正小标宋_GBK"/>
          <w:b/>
          <w:sz w:val="48"/>
          <w:szCs w:val="48"/>
          <w:highlight w:val="none"/>
        </w:rPr>
        <w:t xml:space="preserve">选 </w:t>
      </w:r>
    </w:p>
    <w:p w14:paraId="4F8237B5">
      <w:pPr>
        <w:pStyle w:val="12"/>
        <w:ind w:firstLine="964"/>
        <w:rPr>
          <w:rFonts w:hint="eastAsia" w:ascii="方正小标宋_GBK" w:hAnsi="方正小标宋_GBK" w:eastAsia="方正小标宋_GBK" w:cs="方正小标宋_GBK"/>
          <w:b/>
          <w:color w:val="auto"/>
          <w:kern w:val="2"/>
          <w:sz w:val="48"/>
          <w:szCs w:val="48"/>
          <w:highlight w:val="none"/>
        </w:rPr>
      </w:pPr>
    </w:p>
    <w:p w14:paraId="6E997CC9">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7556C6C9">
      <w:pPr>
        <w:pStyle w:val="12"/>
        <w:ind w:firstLine="964"/>
        <w:rPr>
          <w:rFonts w:hint="eastAsia" w:ascii="方正小标宋_GBK" w:hAnsi="方正小标宋_GBK" w:eastAsia="方正小标宋_GBK" w:cs="方正小标宋_GBK"/>
          <w:b/>
          <w:color w:val="auto"/>
          <w:kern w:val="2"/>
          <w:sz w:val="48"/>
          <w:szCs w:val="48"/>
          <w:highlight w:val="none"/>
        </w:rPr>
      </w:pPr>
    </w:p>
    <w:p w14:paraId="032A1682">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619E1692">
      <w:pPr>
        <w:pStyle w:val="9"/>
        <w:spacing w:line="480" w:lineRule="exact"/>
        <w:ind w:left="0" w:leftChars="0"/>
        <w:jc w:val="center"/>
        <w:rPr>
          <w:rFonts w:ascii="华文中宋" w:hAnsi="华文中宋" w:eastAsia="华文中宋"/>
          <w:b/>
          <w:sz w:val="52"/>
          <w:szCs w:val="52"/>
          <w:highlight w:val="none"/>
        </w:rPr>
      </w:pPr>
    </w:p>
    <w:p w14:paraId="03001401">
      <w:pPr>
        <w:pStyle w:val="12"/>
        <w:ind w:firstLine="0" w:firstLineChars="0"/>
        <w:rPr>
          <w:highlight w:val="none"/>
        </w:rPr>
      </w:pPr>
    </w:p>
    <w:p w14:paraId="674B8399">
      <w:pPr>
        <w:pStyle w:val="9"/>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06DBF1C6">
      <w:pPr>
        <w:pStyle w:val="9"/>
        <w:adjustRightInd w:val="0"/>
        <w:snapToGrid w:val="0"/>
        <w:spacing w:before="156" w:beforeLines="50" w:line="480" w:lineRule="exact"/>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u w:val="single"/>
          <w:lang w:val="en-US" w:eastAsia="zh-CN"/>
        </w:rPr>
        <w:t xml:space="preserve"> 衡阳市国有资产投资控股集团有限公司</w:t>
      </w:r>
    </w:p>
    <w:p w14:paraId="7C3B699A">
      <w:pPr>
        <w:pStyle w:val="9"/>
        <w:adjustRightInd w:val="0"/>
        <w:snapToGrid w:val="0"/>
        <w:spacing w:line="480" w:lineRule="exact"/>
        <w:ind w:left="0" w:leftChars="0"/>
        <w:jc w:val="center"/>
        <w:rPr>
          <w:rFonts w:hint="eastAsia" w:ascii="方正小标宋_GBK" w:hAnsi="方正小标宋_GBK" w:eastAsia="方正小标宋_GBK" w:cs="方正小标宋_GBK"/>
          <w:b w:val="0"/>
          <w:bCs/>
          <w:spacing w:val="160"/>
          <w:sz w:val="44"/>
          <w:szCs w:val="44"/>
          <w:highlight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一 </w:t>
      </w:r>
      <w:r>
        <w:rPr>
          <w:rFonts w:hint="eastAsia" w:ascii="方正小标宋_GBK" w:hAnsi="方正小标宋_GBK" w:eastAsia="方正小标宋_GBK" w:cs="方正小标宋_GBK"/>
          <w:b w:val="0"/>
          <w:bCs/>
          <w:sz w:val="40"/>
          <w:szCs w:val="32"/>
          <w:highlight w:val="none"/>
        </w:rPr>
        <w:t>月</w:t>
      </w:r>
    </w:p>
    <w:p w14:paraId="5FDC842F">
      <w:pPr>
        <w:pStyle w:val="11"/>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50881DC1">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5AB259C2">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5</w:t>
      </w:r>
    </w:p>
    <w:p w14:paraId="35EBEF91">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10</w:t>
      </w:r>
    </w:p>
    <w:p w14:paraId="7A07C7D6">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评标办法（综合评分法）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19</w:t>
      </w:r>
    </w:p>
    <w:p w14:paraId="68B23460">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比选人要求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24</w:t>
      </w:r>
    </w:p>
    <w:p w14:paraId="13C4AAAD">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26345C05">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EE2D47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585E455">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17BAD4C">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9F7DAC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3C38A100">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84940E4">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A88539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35A68654">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60FCB74">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044699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5F916E8">
      <w:pPr>
        <w:pStyle w:val="2"/>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B5CC00E">
      <w:pPr>
        <w:keepNext w:val="0"/>
        <w:keepLines w:val="0"/>
        <w:pageBreakBefore w:val="0"/>
        <w:kinsoku/>
        <w:wordWrap/>
        <w:overflowPunct/>
        <w:topLinePunct w:val="0"/>
        <w:autoSpaceDE/>
        <w:autoSpaceDN/>
        <w:bidi w:val="0"/>
        <w:spacing w:line="480" w:lineRule="exact"/>
        <w:rPr>
          <w:color w:val="auto"/>
          <w:highlight w:val="none"/>
        </w:rPr>
      </w:pPr>
    </w:p>
    <w:p w14:paraId="50829285">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4EAF0C5">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32EB42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A8A1415">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AF88882">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09E95BE">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ABC076D">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BAD5F38">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58901A9C">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pPr>
    </w:p>
    <w:p w14:paraId="12F7FDA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1"/>
          <w:rFonts w:hint="eastAsia" w:ascii="黑体" w:hAnsi="黑体" w:eastAsia="黑体" w:cs="黑体"/>
          <w:color w:val="auto"/>
          <w:sz w:val="32"/>
          <w:szCs w:val="32"/>
          <w:highlight w:val="none"/>
          <w:shd w:val="clear" w:color="auto" w:fill="FFFFFF"/>
          <w:lang w:val="en-US" w:eastAsia="zh-CN"/>
        </w:rPr>
      </w:pPr>
      <w:r>
        <w:rPr>
          <w:rFonts w:hint="eastAsia" w:ascii="Calibri" w:hAnsi="Calibri" w:eastAsia="仿宋" w:cs="Times New Roman"/>
          <w:bCs/>
          <w:kern w:val="44"/>
          <w:sz w:val="44"/>
          <w:szCs w:val="44"/>
          <w:lang w:val="en-US" w:eastAsia="zh-CN" w:bidi="ar-SA"/>
        </w:rPr>
        <w:t>第一章  比选公告</w:t>
      </w:r>
    </w:p>
    <w:p w14:paraId="7FED7E93">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1"/>
          <w:rFonts w:hint="eastAsia" w:ascii="黑体" w:hAnsi="黑体" w:eastAsia="黑体" w:cs="黑体"/>
          <w:color w:val="auto"/>
          <w:sz w:val="32"/>
          <w:szCs w:val="32"/>
          <w:highlight w:val="none"/>
          <w:shd w:val="clear" w:color="auto" w:fill="FFFFFF"/>
          <w:lang w:val="en-US" w:eastAsia="zh-CN"/>
        </w:rPr>
      </w:pPr>
    </w:p>
    <w:p w14:paraId="2C7AF5B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1"/>
          <w:rFonts w:hint="eastAsia" w:ascii="黑体" w:hAnsi="黑体" w:eastAsia="黑体" w:cs="黑体"/>
          <w:color w:val="auto"/>
          <w:sz w:val="32"/>
          <w:szCs w:val="32"/>
          <w:highlight w:val="none"/>
          <w:shd w:val="clear" w:color="auto" w:fill="FFFFFF"/>
          <w:lang w:val="en-US" w:eastAsia="zh-CN"/>
        </w:rPr>
      </w:pPr>
      <w:r>
        <w:rPr>
          <w:rStyle w:val="21"/>
          <w:rFonts w:hint="eastAsia" w:ascii="黑体" w:hAnsi="黑体" w:eastAsia="黑体" w:cs="黑体"/>
          <w:color w:val="auto"/>
          <w:sz w:val="32"/>
          <w:szCs w:val="32"/>
          <w:highlight w:val="none"/>
          <w:shd w:val="clear" w:color="auto" w:fill="FFFFFF"/>
          <w:lang w:val="en-US" w:eastAsia="zh-CN"/>
        </w:rPr>
        <w:t>一、</w:t>
      </w:r>
      <w:r>
        <w:rPr>
          <w:rStyle w:val="21"/>
          <w:rFonts w:hint="eastAsia" w:ascii="黑体" w:hAnsi="黑体" w:eastAsia="黑体" w:cs="黑体"/>
          <w:color w:val="auto"/>
          <w:sz w:val="32"/>
          <w:szCs w:val="32"/>
          <w:highlight w:val="none"/>
          <w:shd w:val="clear" w:color="auto" w:fill="FFFFFF"/>
        </w:rPr>
        <w:t>项目概况</w:t>
      </w:r>
      <w:r>
        <w:rPr>
          <w:rStyle w:val="21"/>
          <w:rFonts w:hint="eastAsia" w:ascii="黑体" w:hAnsi="黑体" w:eastAsia="黑体" w:cs="黑体"/>
          <w:color w:val="auto"/>
          <w:sz w:val="32"/>
          <w:szCs w:val="32"/>
          <w:highlight w:val="none"/>
          <w:shd w:val="clear" w:color="auto" w:fill="FFFFFF"/>
          <w:lang w:val="en-US" w:eastAsia="zh-CN"/>
        </w:rPr>
        <w:t>与服务范围</w:t>
      </w:r>
    </w:p>
    <w:p w14:paraId="451C594D">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z w:val="32"/>
          <w:szCs w:val="32"/>
          <w:lang w:val="en-US" w:eastAsia="zh-CN"/>
        </w:rPr>
      </w:pPr>
      <w:r>
        <w:rPr>
          <w:rFonts w:hint="eastAsia" w:ascii="仿宋" w:hAnsi="仿宋" w:eastAsia="仿宋" w:cs="仿宋"/>
          <w:b w:val="0"/>
          <w:bCs w:val="0"/>
          <w:spacing w:val="0"/>
          <w:kern w:val="2"/>
          <w:position w:val="0"/>
          <w:sz w:val="28"/>
          <w:szCs w:val="28"/>
          <w:lang w:val="en-US" w:eastAsia="zh-CN" w:bidi="ar-SA"/>
        </w:rPr>
        <w:t>1.项目名称：</w:t>
      </w:r>
      <w:r>
        <w:rPr>
          <w:rFonts w:hint="eastAsia" w:ascii="仿宋" w:hAnsi="仿宋" w:eastAsia="仿宋" w:cs="仿宋"/>
          <w:color w:val="auto"/>
          <w:sz w:val="28"/>
          <w:szCs w:val="28"/>
          <w:lang w:val="en-US" w:eastAsia="zh-CN"/>
        </w:rPr>
        <w:t>衡阳国投第三方安全服务机构比选</w:t>
      </w:r>
    </w:p>
    <w:p w14:paraId="0F8670B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2.项目地点：衡阳市</w:t>
      </w:r>
    </w:p>
    <w:p w14:paraId="57FEC98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3.项目概况：</w:t>
      </w:r>
      <w:r>
        <w:rPr>
          <w:rFonts w:hint="eastAsia" w:ascii="仿宋" w:hAnsi="仿宋" w:eastAsia="仿宋" w:cs="仿宋"/>
          <w:i w:val="0"/>
          <w:iCs w:val="0"/>
          <w:caps w:val="0"/>
          <w:color w:val="auto"/>
          <w:spacing w:val="0"/>
          <w:sz w:val="28"/>
          <w:szCs w:val="28"/>
        </w:rPr>
        <w:t>充分发挥第三方</w:t>
      </w:r>
      <w:r>
        <w:rPr>
          <w:rFonts w:hint="eastAsia" w:ascii="仿宋" w:hAnsi="仿宋" w:eastAsia="仿宋" w:cs="仿宋"/>
          <w:i w:val="0"/>
          <w:iCs w:val="0"/>
          <w:caps w:val="0"/>
          <w:color w:val="auto"/>
          <w:spacing w:val="0"/>
          <w:sz w:val="28"/>
          <w:szCs w:val="28"/>
          <w:lang w:val="en-US" w:eastAsia="zh-CN"/>
        </w:rPr>
        <w:t>安全</w:t>
      </w:r>
      <w:r>
        <w:rPr>
          <w:rFonts w:hint="eastAsia" w:ascii="仿宋" w:hAnsi="仿宋" w:eastAsia="仿宋" w:cs="仿宋"/>
          <w:i w:val="0"/>
          <w:iCs w:val="0"/>
          <w:caps w:val="0"/>
          <w:color w:val="auto"/>
          <w:spacing w:val="0"/>
          <w:sz w:val="28"/>
          <w:szCs w:val="28"/>
        </w:rPr>
        <w:t>服务机构对安全生产技术支撑作用</w:t>
      </w:r>
      <w:r>
        <w:rPr>
          <w:rFonts w:hint="eastAsia" w:ascii="仿宋" w:hAnsi="仿宋" w:eastAsia="仿宋" w:cs="仿宋"/>
          <w:i w:val="0"/>
          <w:iCs w:val="0"/>
          <w:caps w:val="0"/>
          <w:color w:val="auto"/>
          <w:spacing w:val="0"/>
          <w:sz w:val="28"/>
          <w:szCs w:val="28"/>
          <w:lang w:eastAsia="zh-CN"/>
        </w:rPr>
        <w:t>，</w:t>
      </w:r>
      <w:r>
        <w:rPr>
          <w:rFonts w:hint="eastAsia" w:ascii="仿宋" w:hAnsi="仿宋" w:eastAsia="仿宋" w:cs="仿宋"/>
          <w:color w:val="auto"/>
          <w:sz w:val="28"/>
          <w:szCs w:val="28"/>
          <w:lang w:eastAsia="zh-CN"/>
        </w:rPr>
        <w:t>切实强化</w:t>
      </w:r>
      <w:r>
        <w:rPr>
          <w:rFonts w:hint="eastAsia" w:ascii="仿宋" w:hAnsi="仿宋" w:eastAsia="仿宋" w:cs="仿宋"/>
          <w:color w:val="auto"/>
          <w:sz w:val="28"/>
          <w:szCs w:val="28"/>
          <w:lang w:val="en-US" w:eastAsia="zh-CN"/>
        </w:rPr>
        <w:t>集团公司</w:t>
      </w:r>
      <w:r>
        <w:rPr>
          <w:rFonts w:hint="eastAsia" w:ascii="仿宋" w:hAnsi="仿宋" w:eastAsia="仿宋" w:cs="仿宋"/>
          <w:color w:val="auto"/>
          <w:sz w:val="28"/>
          <w:szCs w:val="28"/>
          <w:lang w:eastAsia="zh-CN"/>
        </w:rPr>
        <w:t>安全监管，全面落实企业安全</w:t>
      </w:r>
      <w:r>
        <w:rPr>
          <w:rFonts w:hint="eastAsia" w:ascii="仿宋" w:hAnsi="仿宋" w:eastAsia="仿宋" w:cs="仿宋"/>
          <w:color w:val="auto"/>
          <w:sz w:val="28"/>
          <w:szCs w:val="28"/>
          <w:lang w:val="en-US" w:eastAsia="zh-CN"/>
        </w:rPr>
        <w:t>生产</w:t>
      </w:r>
      <w:r>
        <w:rPr>
          <w:rFonts w:hint="eastAsia" w:ascii="仿宋" w:hAnsi="仿宋" w:eastAsia="仿宋" w:cs="仿宋"/>
          <w:color w:val="auto"/>
          <w:sz w:val="28"/>
          <w:szCs w:val="28"/>
          <w:lang w:eastAsia="zh-CN"/>
        </w:rPr>
        <w:t>主体责任，</w:t>
      </w:r>
      <w:r>
        <w:rPr>
          <w:rFonts w:hint="eastAsia" w:ascii="仿宋" w:hAnsi="仿宋" w:eastAsia="仿宋" w:cs="仿宋"/>
          <w:i w:val="0"/>
          <w:iCs w:val="0"/>
          <w:caps w:val="0"/>
          <w:color w:val="auto"/>
          <w:spacing w:val="0"/>
          <w:sz w:val="28"/>
          <w:szCs w:val="28"/>
          <w:shd w:val="clear" w:color="auto" w:fill="FFFFFF"/>
          <w:lang w:eastAsia="zh-CN"/>
        </w:rPr>
        <w:t>健全</w:t>
      </w:r>
      <w:r>
        <w:rPr>
          <w:rFonts w:hint="eastAsia" w:ascii="仿宋" w:hAnsi="仿宋" w:eastAsia="仿宋" w:cs="仿宋"/>
          <w:i w:val="0"/>
          <w:iCs w:val="0"/>
          <w:caps w:val="0"/>
          <w:color w:val="auto"/>
          <w:spacing w:val="0"/>
          <w:sz w:val="28"/>
          <w:szCs w:val="28"/>
          <w:shd w:val="clear" w:color="auto" w:fill="FFFFFF"/>
        </w:rPr>
        <w:t>安全生产责任体系，完善安全风险防控机制，</w:t>
      </w:r>
      <w:r>
        <w:rPr>
          <w:rFonts w:hint="eastAsia" w:ascii="仿宋" w:hAnsi="仿宋" w:eastAsia="仿宋" w:cs="仿宋"/>
          <w:i w:val="0"/>
          <w:iCs w:val="0"/>
          <w:caps w:val="0"/>
          <w:color w:val="auto"/>
          <w:spacing w:val="0"/>
          <w:sz w:val="28"/>
          <w:szCs w:val="28"/>
        </w:rPr>
        <w:t>加强安全生产技术服务、监督管理，规范安全技术、安全评价、安全培训等</w:t>
      </w:r>
      <w:r>
        <w:rPr>
          <w:rFonts w:hint="eastAsia" w:ascii="仿宋" w:hAnsi="仿宋" w:eastAsia="仿宋" w:cs="仿宋"/>
          <w:i w:val="0"/>
          <w:iCs w:val="0"/>
          <w:caps w:val="0"/>
          <w:color w:val="auto"/>
          <w:spacing w:val="0"/>
          <w:sz w:val="28"/>
          <w:szCs w:val="28"/>
          <w:lang w:val="en-US" w:eastAsia="zh-CN"/>
        </w:rPr>
        <w:t>工作</w:t>
      </w:r>
      <w:r>
        <w:rPr>
          <w:rFonts w:hint="eastAsia" w:ascii="仿宋" w:hAnsi="仿宋" w:eastAsia="仿宋" w:cs="仿宋"/>
          <w:i w:val="0"/>
          <w:iCs w:val="0"/>
          <w:caps w:val="0"/>
          <w:color w:val="auto"/>
          <w:spacing w:val="0"/>
          <w:sz w:val="28"/>
          <w:szCs w:val="28"/>
        </w:rPr>
        <w:t>，</w:t>
      </w:r>
      <w:r>
        <w:rPr>
          <w:rFonts w:hint="eastAsia" w:ascii="仿宋" w:hAnsi="仿宋" w:eastAsia="仿宋" w:cs="仿宋"/>
          <w:color w:val="auto"/>
          <w:sz w:val="28"/>
          <w:szCs w:val="28"/>
          <w:lang w:eastAsia="zh-CN"/>
        </w:rPr>
        <w:t>进一步提升</w:t>
      </w:r>
      <w:r>
        <w:rPr>
          <w:rFonts w:hint="eastAsia" w:ascii="仿宋" w:hAnsi="仿宋" w:eastAsia="仿宋" w:cs="仿宋"/>
          <w:color w:val="auto"/>
          <w:sz w:val="28"/>
          <w:szCs w:val="28"/>
          <w:lang w:val="en-US" w:eastAsia="zh-CN"/>
        </w:rPr>
        <w:t>企业</w:t>
      </w:r>
      <w:r>
        <w:rPr>
          <w:rFonts w:hint="eastAsia" w:ascii="仿宋" w:hAnsi="仿宋" w:eastAsia="仿宋" w:cs="仿宋"/>
          <w:color w:val="auto"/>
          <w:sz w:val="28"/>
          <w:szCs w:val="28"/>
          <w:lang w:eastAsia="zh-CN"/>
        </w:rPr>
        <w:t>风险管控能力水平，从源头上预防与减少生产安全事故，使</w:t>
      </w:r>
      <w:r>
        <w:rPr>
          <w:rFonts w:hint="eastAsia" w:ascii="仿宋" w:hAnsi="仿宋" w:eastAsia="仿宋" w:cs="仿宋"/>
          <w:color w:val="auto"/>
          <w:sz w:val="28"/>
          <w:szCs w:val="28"/>
          <w:lang w:val="en-US" w:eastAsia="zh-CN"/>
        </w:rPr>
        <w:t>企业安全管理</w:t>
      </w:r>
      <w:r>
        <w:rPr>
          <w:rFonts w:hint="eastAsia" w:ascii="仿宋" w:hAnsi="仿宋" w:eastAsia="仿宋" w:cs="仿宋"/>
          <w:color w:val="auto"/>
          <w:sz w:val="28"/>
          <w:szCs w:val="28"/>
          <w:lang w:eastAsia="zh-CN"/>
        </w:rPr>
        <w:t>工作逐步科学化、制度化、规范化。</w:t>
      </w:r>
    </w:p>
    <w:p w14:paraId="7720537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4.服务期限：壹年</w:t>
      </w:r>
    </w:p>
    <w:p w14:paraId="2C210ACC">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5.服务范围：</w:t>
      </w:r>
      <w:r>
        <w:rPr>
          <w:rFonts w:hint="eastAsia" w:ascii="仿宋" w:hAnsi="仿宋" w:eastAsia="仿宋" w:cs="仿宋"/>
          <w:color w:val="auto"/>
          <w:sz w:val="28"/>
          <w:szCs w:val="28"/>
          <w:lang w:val="en-US" w:eastAsia="zh-CN"/>
        </w:rPr>
        <w:t>负责完成</w:t>
      </w:r>
      <w:r>
        <w:rPr>
          <w:rFonts w:hint="eastAsia" w:ascii="仿宋" w:hAnsi="仿宋" w:eastAsia="仿宋" w:cs="仿宋"/>
          <w:sz w:val="28"/>
          <w:szCs w:val="28"/>
          <w:lang w:eastAsia="zh-CN"/>
        </w:rPr>
        <w:t>安全目标制定及考核、安全生产制度建设、安全生产督查检查、安全生产专项整治、安全生产教育培训、安全文化与档案管理、日常工作</w:t>
      </w:r>
      <w:r>
        <w:rPr>
          <w:rFonts w:hint="eastAsia" w:ascii="仿宋" w:hAnsi="仿宋" w:eastAsia="仿宋" w:cs="仿宋"/>
          <w:sz w:val="28"/>
          <w:szCs w:val="28"/>
          <w:lang w:val="en-US" w:eastAsia="zh-CN"/>
        </w:rPr>
        <w:t>等其他工作。</w:t>
      </w:r>
      <w:r>
        <w:rPr>
          <w:rFonts w:hint="eastAsia" w:ascii="仿宋" w:hAnsi="仿宋" w:eastAsia="仿宋" w:cs="仿宋"/>
          <w:sz w:val="32"/>
          <w:szCs w:val="32"/>
          <w:lang w:eastAsia="zh-CN"/>
        </w:rPr>
        <w:t xml:space="preserve">              </w:t>
      </w:r>
    </w:p>
    <w:p w14:paraId="797E56AC">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1"/>
          <w:rFonts w:hint="default" w:ascii="黑体" w:hAnsi="黑体" w:eastAsia="黑体" w:cs="黑体"/>
          <w:b w:val="0"/>
          <w:bCs w:val="0"/>
          <w:color w:val="auto"/>
          <w:sz w:val="32"/>
          <w:szCs w:val="32"/>
          <w:highlight w:val="none"/>
          <w:shd w:val="clear" w:color="auto" w:fill="FFFFFF"/>
          <w:lang w:val="en-US" w:eastAsia="zh-CN"/>
        </w:rPr>
      </w:pPr>
      <w:r>
        <w:rPr>
          <w:rStyle w:val="21"/>
          <w:rFonts w:hint="eastAsia" w:ascii="黑体" w:hAnsi="黑体" w:eastAsia="黑体" w:cs="黑体"/>
          <w:color w:val="auto"/>
          <w:sz w:val="32"/>
          <w:szCs w:val="32"/>
          <w:highlight w:val="none"/>
          <w:shd w:val="clear" w:color="auto" w:fill="FFFFFF"/>
          <w:lang w:val="en-US" w:eastAsia="zh-CN"/>
        </w:rPr>
        <w:t>二、最高投标限价</w:t>
      </w:r>
    </w:p>
    <w:p w14:paraId="3CDB40C4">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本项目最高投标限价</w:t>
      </w:r>
      <w:r>
        <w:rPr>
          <w:rFonts w:hint="eastAsia" w:ascii="仿宋" w:hAnsi="仿宋" w:eastAsia="仿宋" w:cs="仿宋"/>
          <w:spacing w:val="0"/>
          <w:kern w:val="2"/>
          <w:position w:val="0"/>
          <w:sz w:val="28"/>
          <w:szCs w:val="28"/>
          <w:lang w:val="en-US" w:eastAsia="zh-CN" w:bidi="ar-SA"/>
        </w:rPr>
        <w:t>为</w:t>
      </w:r>
      <w:r>
        <w:rPr>
          <w:rFonts w:hint="eastAsia" w:ascii="仿宋" w:hAnsi="仿宋" w:eastAsia="仿宋" w:cs="仿宋"/>
          <w:spacing w:val="0"/>
          <w:kern w:val="2"/>
          <w:position w:val="0"/>
          <w:sz w:val="28"/>
          <w:szCs w:val="28"/>
          <w:u w:val="single"/>
          <w:lang w:val="en-US" w:eastAsia="zh-CN" w:bidi="ar-SA"/>
        </w:rPr>
        <w:t xml:space="preserve">  580000 </w:t>
      </w:r>
      <w:r>
        <w:rPr>
          <w:rFonts w:hint="eastAsia" w:ascii="仿宋" w:hAnsi="仿宋" w:eastAsia="仿宋" w:cs="仿宋"/>
          <w:spacing w:val="0"/>
          <w:kern w:val="2"/>
          <w:position w:val="0"/>
          <w:sz w:val="28"/>
          <w:szCs w:val="28"/>
          <w:u w:val="none"/>
          <w:lang w:val="en-US" w:eastAsia="zh-CN" w:bidi="ar-SA"/>
        </w:rPr>
        <w:t>元。</w:t>
      </w:r>
    </w:p>
    <w:p w14:paraId="2D4F46F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1"/>
          <w:rFonts w:hint="eastAsia" w:ascii="黑体" w:hAnsi="黑体" w:eastAsia="黑体" w:cs="黑体"/>
          <w:color w:val="auto"/>
          <w:sz w:val="32"/>
          <w:szCs w:val="32"/>
          <w:highlight w:val="none"/>
          <w:shd w:val="clear" w:color="auto" w:fill="FFFFFF"/>
          <w:lang w:eastAsia="zh-CN"/>
        </w:rPr>
      </w:pPr>
      <w:r>
        <w:rPr>
          <w:rStyle w:val="21"/>
          <w:rFonts w:hint="eastAsia" w:ascii="黑体" w:hAnsi="黑体" w:eastAsia="黑体" w:cs="黑体"/>
          <w:color w:val="auto"/>
          <w:sz w:val="32"/>
          <w:szCs w:val="32"/>
          <w:highlight w:val="none"/>
          <w:shd w:val="clear" w:color="auto" w:fill="FFFFFF"/>
          <w:lang w:val="en-US" w:eastAsia="zh-CN"/>
        </w:rPr>
        <w:t>三、</w:t>
      </w:r>
      <w:r>
        <w:rPr>
          <w:rStyle w:val="21"/>
          <w:rFonts w:hint="eastAsia" w:ascii="黑体" w:hAnsi="黑体" w:eastAsia="黑体" w:cs="黑体"/>
          <w:color w:val="auto"/>
          <w:sz w:val="32"/>
          <w:szCs w:val="32"/>
          <w:highlight w:val="none"/>
          <w:shd w:val="clear" w:color="auto" w:fill="FFFFFF"/>
        </w:rPr>
        <w:t>资</w:t>
      </w:r>
      <w:r>
        <w:rPr>
          <w:rStyle w:val="21"/>
          <w:rFonts w:hint="eastAsia" w:ascii="黑体" w:hAnsi="黑体" w:eastAsia="黑体" w:cs="黑体"/>
          <w:color w:val="auto"/>
          <w:sz w:val="32"/>
          <w:szCs w:val="32"/>
          <w:highlight w:val="none"/>
          <w:shd w:val="clear" w:color="auto" w:fill="FFFFFF"/>
          <w:lang w:val="en-US" w:eastAsia="zh-CN"/>
        </w:rPr>
        <w:t>格</w:t>
      </w:r>
      <w:r>
        <w:rPr>
          <w:rStyle w:val="21"/>
          <w:rFonts w:hint="eastAsia" w:ascii="黑体" w:hAnsi="黑体" w:eastAsia="黑体" w:cs="黑体"/>
          <w:color w:val="auto"/>
          <w:sz w:val="32"/>
          <w:szCs w:val="32"/>
          <w:highlight w:val="none"/>
          <w:shd w:val="clear" w:color="auto" w:fill="FFFFFF"/>
        </w:rPr>
        <w:t>要求</w:t>
      </w:r>
    </w:p>
    <w:p w14:paraId="503FE529">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w:t>
      </w:r>
    </w:p>
    <w:p w14:paraId="642E9619">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b w:val="0"/>
          <w:bCs w:val="0"/>
          <w:spacing w:val="0"/>
          <w:kern w:val="2"/>
          <w:position w:val="0"/>
          <w:sz w:val="28"/>
          <w:szCs w:val="28"/>
          <w:lang w:val="en-US" w:eastAsia="zh-CN" w:bidi="ar-SA"/>
        </w:rPr>
        <w:t>2.</w:t>
      </w:r>
      <w:r>
        <w:rPr>
          <w:rFonts w:hint="eastAsia" w:ascii="仿宋" w:hAnsi="仿宋" w:eastAsia="仿宋" w:cs="仿宋"/>
          <w:spacing w:val="0"/>
          <w:position w:val="0"/>
          <w:sz w:val="28"/>
          <w:szCs w:val="28"/>
          <w:lang w:val="en-US" w:eastAsia="zh-CN"/>
        </w:rPr>
        <w:t>资质要求：具备</w:t>
      </w:r>
      <w:r>
        <w:rPr>
          <w:rFonts w:hint="eastAsia" w:ascii="仿宋" w:hAnsi="仿宋" w:eastAsia="仿宋" w:cs="仿宋"/>
          <w:spacing w:val="0"/>
          <w:position w:val="0"/>
          <w:sz w:val="28"/>
          <w:szCs w:val="28"/>
          <w:u w:val="single"/>
          <w:lang w:val="en-US" w:eastAsia="zh-CN"/>
        </w:rPr>
        <w:t xml:space="preserve"> 湖南省应急管理厅  </w:t>
      </w:r>
      <w:r>
        <w:rPr>
          <w:rFonts w:hint="eastAsia" w:ascii="仿宋" w:hAnsi="仿宋" w:eastAsia="仿宋" w:cs="仿宋"/>
          <w:spacing w:val="0"/>
          <w:position w:val="0"/>
          <w:sz w:val="28"/>
          <w:szCs w:val="28"/>
          <w:u w:val="none"/>
          <w:lang w:val="en-US" w:eastAsia="zh-CN"/>
        </w:rPr>
        <w:t xml:space="preserve"> </w:t>
      </w:r>
      <w:r>
        <w:rPr>
          <w:rFonts w:hint="eastAsia" w:ascii="仿宋" w:hAnsi="仿宋" w:eastAsia="仿宋" w:cs="仿宋"/>
          <w:spacing w:val="0"/>
          <w:position w:val="0"/>
          <w:sz w:val="28"/>
          <w:szCs w:val="28"/>
          <w:lang w:val="en-US" w:eastAsia="zh-CN"/>
        </w:rPr>
        <w:t>主管部门颁发的</w:t>
      </w:r>
      <w:r>
        <w:rPr>
          <w:rFonts w:hint="eastAsia" w:ascii="仿宋" w:hAnsi="仿宋" w:eastAsia="仿宋" w:cs="仿宋"/>
          <w:spacing w:val="0"/>
          <w:position w:val="0"/>
          <w:sz w:val="28"/>
          <w:szCs w:val="28"/>
          <w:u w:val="single"/>
          <w:lang w:val="en-US" w:eastAsia="zh-CN"/>
        </w:rPr>
        <w:t xml:space="preserve"> 湖南省企业三项岗位人员培训 </w:t>
      </w:r>
      <w:r>
        <w:rPr>
          <w:rFonts w:hint="eastAsia" w:ascii="仿宋" w:hAnsi="仿宋" w:eastAsia="仿宋" w:cs="仿宋"/>
          <w:spacing w:val="0"/>
          <w:position w:val="0"/>
          <w:sz w:val="28"/>
          <w:szCs w:val="28"/>
          <w:lang w:val="en-US" w:eastAsia="zh-CN"/>
        </w:rPr>
        <w:t>资质，资质证书处于有效期。</w:t>
      </w:r>
    </w:p>
    <w:p w14:paraId="685CEFA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3.类似项目业绩要求：</w:t>
      </w:r>
    </w:p>
    <w:p w14:paraId="4D5F98B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27C4B7A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☑提供:近</w:t>
      </w:r>
      <w:r>
        <w:rPr>
          <w:rFonts w:hint="eastAsia" w:ascii="仿宋" w:hAnsi="仿宋" w:eastAsia="仿宋" w:cs="仿宋"/>
          <w:color w:val="auto"/>
          <w:kern w:val="2"/>
          <w:sz w:val="28"/>
          <w:szCs w:val="28"/>
          <w:u w:val="none"/>
          <w:lang w:val="en-US" w:eastAsia="zh-CN" w:bidi="ar-SA"/>
        </w:rPr>
        <w:t>3</w:t>
      </w:r>
      <w:r>
        <w:rPr>
          <w:rFonts w:hint="eastAsia" w:ascii="仿宋" w:hAnsi="仿宋" w:eastAsia="仿宋" w:cs="仿宋"/>
          <w:color w:val="auto"/>
          <w:kern w:val="2"/>
          <w:sz w:val="28"/>
          <w:szCs w:val="28"/>
          <w:lang w:val="en-US" w:eastAsia="zh-CN" w:bidi="ar-SA"/>
        </w:rPr>
        <w:t>年内（</w:t>
      </w:r>
      <w:r>
        <w:rPr>
          <w:rFonts w:hint="eastAsia" w:ascii="仿宋" w:hAnsi="仿宋" w:eastAsia="仿宋" w:cs="仿宋"/>
          <w:color w:val="auto"/>
          <w:spacing w:val="15"/>
          <w:kern w:val="0"/>
          <w:sz w:val="28"/>
          <w:szCs w:val="28"/>
          <w:highlight w:val="none"/>
          <w:u w:val="single"/>
          <w:lang w:val="en-US" w:eastAsia="zh-CN"/>
        </w:rPr>
        <w:t>2022</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1</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2024</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12</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 xml:space="preserve">）不少于 </w:t>
      </w:r>
      <w:r>
        <w:rPr>
          <w:rFonts w:hint="eastAsia" w:ascii="仿宋" w:hAnsi="仿宋" w:eastAsia="仿宋" w:cs="仿宋"/>
          <w:color w:val="auto"/>
          <w:kern w:val="2"/>
          <w:sz w:val="28"/>
          <w:szCs w:val="28"/>
          <w:u w:val="single"/>
          <w:lang w:val="en-US" w:eastAsia="zh-CN" w:bidi="ar-SA"/>
        </w:rPr>
        <w:t xml:space="preserve">2 </w:t>
      </w:r>
      <w:r>
        <w:rPr>
          <w:rFonts w:hint="eastAsia" w:ascii="仿宋" w:hAnsi="仿宋" w:eastAsia="仿宋" w:cs="仿宋"/>
          <w:color w:val="auto"/>
          <w:kern w:val="2"/>
          <w:sz w:val="28"/>
          <w:szCs w:val="28"/>
          <w:highlight w:val="none"/>
          <w:lang w:val="en-US" w:eastAsia="zh-CN" w:bidi="ar-SA"/>
        </w:rPr>
        <w:t>个</w:t>
      </w:r>
      <w:r>
        <w:rPr>
          <w:rFonts w:hint="eastAsia" w:ascii="仿宋" w:hAnsi="仿宋" w:eastAsia="仿宋" w:cs="仿宋"/>
          <w:color w:val="auto"/>
          <w:spacing w:val="15"/>
          <w:kern w:val="0"/>
          <w:sz w:val="28"/>
          <w:szCs w:val="28"/>
          <w:highlight w:val="none"/>
          <w:u w:val="single"/>
          <w:lang w:val="en-US" w:eastAsia="zh-CN"/>
        </w:rPr>
        <w:t xml:space="preserve">  单项合同金额不低于174000元企业安全服务  </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w:t>
      </w:r>
      <w:r>
        <w:rPr>
          <w:rFonts w:hint="eastAsia" w:ascii="仿宋" w:hAnsi="仿宋" w:eastAsia="仿宋" w:cs="仿宋"/>
          <w:color w:val="auto"/>
          <w:kern w:val="2"/>
          <w:sz w:val="28"/>
          <w:szCs w:val="28"/>
          <w:lang w:val="en-US" w:eastAsia="zh-CN" w:bidi="ar-SA"/>
        </w:rPr>
        <w:t>似项目业绩。</w:t>
      </w:r>
    </w:p>
    <w:p w14:paraId="0F632C6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u w:val="none"/>
          <w:lang w:val="en-US" w:eastAsia="zh-CN" w:bidi="ar-SA"/>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color w:val="auto"/>
          <w:kern w:val="2"/>
          <w:sz w:val="28"/>
          <w:szCs w:val="28"/>
          <w:u w:val="single"/>
          <w:lang w:val="en-US" w:eastAsia="zh-CN" w:bidi="ar-SA"/>
        </w:rPr>
        <w:t xml:space="preserve"> 为企业提供第三方安全服务</w:t>
      </w:r>
      <w:r>
        <w:rPr>
          <w:rFonts w:hint="eastAsia" w:ascii="仿宋" w:hAnsi="仿宋" w:eastAsia="仿宋" w:cs="仿宋"/>
          <w:color w:val="auto"/>
          <w:kern w:val="2"/>
          <w:sz w:val="28"/>
          <w:szCs w:val="28"/>
          <w:u w:val="none"/>
          <w:lang w:val="en-US" w:eastAsia="zh-CN" w:bidi="ar-SA"/>
        </w:rPr>
        <w:t>。</w:t>
      </w:r>
    </w:p>
    <w:p w14:paraId="507A6BAE">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14:paraId="4A96263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255781B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spacing w:val="0"/>
          <w:position w:val="0"/>
          <w:sz w:val="28"/>
          <w:szCs w:val="28"/>
          <w:lang w:val="en-US" w:eastAsia="zh-CN"/>
        </w:rPr>
        <w:t>拟任项目负责人须具有</w:t>
      </w:r>
      <w:r>
        <w:rPr>
          <w:rFonts w:hint="eastAsia" w:ascii="仿宋" w:hAnsi="仿宋" w:eastAsia="仿宋" w:cs="仿宋"/>
          <w:spacing w:val="0"/>
          <w:position w:val="0"/>
          <w:sz w:val="28"/>
          <w:szCs w:val="28"/>
          <w:u w:val="single"/>
          <w:lang w:val="en-US" w:eastAsia="zh-CN"/>
        </w:rPr>
        <w:t xml:space="preserve"> 国家注册安全工程师证书</w:t>
      </w:r>
      <w:r>
        <w:rPr>
          <w:rFonts w:hint="eastAsia" w:ascii="仿宋" w:hAnsi="仿宋" w:eastAsia="仿宋" w:cs="仿宋"/>
          <w:color w:val="auto"/>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2024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7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2024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12</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w:t>
      </w:r>
      <w:r>
        <w:rPr>
          <w:rFonts w:hint="eastAsia" w:ascii="仿宋" w:hAnsi="仿宋" w:eastAsia="仿宋" w:cs="仿宋"/>
          <w:spacing w:val="0"/>
          <w:position w:val="0"/>
          <w:sz w:val="28"/>
          <w:szCs w:val="28"/>
          <w:lang w:val="en-US" w:eastAsia="zh-CN"/>
        </w:rPr>
        <w:t>的社保证明。</w:t>
      </w:r>
    </w:p>
    <w:p w14:paraId="152EB19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5.其他人员要求：</w:t>
      </w:r>
    </w:p>
    <w:p w14:paraId="72C772A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514E5F5E">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u w:val="none"/>
          <w:lang w:val="en-US" w:eastAsia="zh-CN" w:bidi="ar-SA"/>
        </w:rPr>
        <w:t>。</w:t>
      </w:r>
    </w:p>
    <w:p w14:paraId="28089AF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spacing w:val="0"/>
          <w:position w:val="0"/>
          <w:sz w:val="28"/>
          <w:szCs w:val="28"/>
          <w:lang w:val="en-US" w:eastAsia="zh-CN"/>
        </w:rPr>
        <w:t>6.信誉要求：近三年内，在经营活动中无不良记录。</w:t>
      </w:r>
    </w:p>
    <w:p w14:paraId="7CDEAE9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7.关联要求：参选单位法定代表人为同一人或者存在直接控股、管理关系的不同参选人，不得同时参加本次比选。</w:t>
      </w:r>
    </w:p>
    <w:p w14:paraId="15492ED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仿宋" w:hAnsi="仿宋" w:eastAsia="仿宋" w:cs="仿宋"/>
          <w:b w:val="0"/>
          <w:bCs w:val="0"/>
          <w:spacing w:val="0"/>
          <w:kern w:val="2"/>
          <w:position w:val="0"/>
          <w:sz w:val="28"/>
          <w:szCs w:val="28"/>
          <w:lang w:val="en-US" w:eastAsia="zh-CN" w:bidi="ar-SA"/>
        </w:rPr>
        <w:t>8.联合体要求：</w:t>
      </w:r>
      <w:r>
        <w:rPr>
          <w:rFonts w:hint="eastAsia" w:ascii="仿宋" w:hAnsi="仿宋" w:eastAsia="仿宋" w:cs="仿宋"/>
          <w:b w:val="0"/>
          <w:bCs w:val="0"/>
          <w:color w:val="auto"/>
          <w:spacing w:val="0"/>
          <w:kern w:val="2"/>
          <w:position w:val="0"/>
          <w:sz w:val="28"/>
          <w:szCs w:val="28"/>
          <w:lang w:val="en-US" w:eastAsia="zh-CN" w:bidi="ar-SA"/>
        </w:rPr>
        <w:t>本次比选不</w:t>
      </w:r>
      <w:r>
        <w:rPr>
          <w:rFonts w:hint="eastAsia" w:ascii="仿宋" w:hAnsi="仿宋" w:eastAsia="仿宋" w:cs="仿宋"/>
          <w:b w:val="0"/>
          <w:bCs w:val="0"/>
          <w:spacing w:val="0"/>
          <w:kern w:val="2"/>
          <w:position w:val="0"/>
          <w:sz w:val="28"/>
          <w:szCs w:val="28"/>
          <w:lang w:val="en-US" w:eastAsia="zh-CN" w:bidi="ar-SA"/>
        </w:rPr>
        <w:t>接受联合体参加。</w:t>
      </w:r>
    </w:p>
    <w:p w14:paraId="4EC96805">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7A107BD9">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本次比选的投标保证金为</w:t>
      </w:r>
      <w:r>
        <w:rPr>
          <w:rFonts w:hint="eastAsia" w:ascii="仿宋" w:hAnsi="仿宋" w:eastAsia="仿宋" w:cs="仿宋"/>
          <w:spacing w:val="0"/>
          <w:position w:val="0"/>
          <w:sz w:val="28"/>
          <w:szCs w:val="28"/>
          <w:u w:val="single"/>
          <w:lang w:val="en-US" w:eastAsia="zh-CN"/>
        </w:rPr>
        <w:t xml:space="preserve">  11600  </w:t>
      </w:r>
      <w:r>
        <w:rPr>
          <w:rFonts w:hint="eastAsia" w:ascii="仿宋" w:hAnsi="仿宋" w:eastAsia="仿宋" w:cs="仿宋"/>
          <w:spacing w:val="0"/>
          <w:position w:val="0"/>
          <w:sz w:val="28"/>
          <w:szCs w:val="28"/>
          <w:lang w:val="en-US" w:eastAsia="zh-CN"/>
        </w:rPr>
        <w:t>元，采用保函形式（银行保函或担保公司保函）。</w:t>
      </w:r>
    </w:p>
    <w:p w14:paraId="343BAEE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7653C52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凡有意参加比选的参选单位，请在衡阳市国有资产投资控股集团有限公司官方网站（www.hxamc.com）上下载比选文件，并按照比选文件要求参与比选。</w:t>
      </w:r>
    </w:p>
    <w:p w14:paraId="3804350D">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5D7051E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本项目拟定于2025年</w:t>
      </w:r>
      <w:r>
        <w:rPr>
          <w:rFonts w:hint="eastAsia" w:ascii="仿宋" w:hAnsi="仿宋" w:eastAsia="仿宋" w:cs="仿宋"/>
          <w:spacing w:val="0"/>
          <w:position w:val="0"/>
          <w:sz w:val="28"/>
          <w:szCs w:val="28"/>
          <w:u w:val="single"/>
          <w:lang w:val="en-US" w:eastAsia="zh-CN"/>
        </w:rPr>
        <w:t xml:space="preserve"> 1 </w:t>
      </w:r>
      <w:r>
        <w:rPr>
          <w:rFonts w:hint="eastAsia" w:ascii="仿宋" w:hAnsi="仿宋" w:eastAsia="仿宋" w:cs="仿宋"/>
          <w:spacing w:val="0"/>
          <w:position w:val="0"/>
          <w:sz w:val="28"/>
          <w:szCs w:val="28"/>
          <w:lang w:val="en-US" w:eastAsia="zh-CN"/>
        </w:rPr>
        <w:t>月</w:t>
      </w:r>
      <w:r>
        <w:rPr>
          <w:rFonts w:hint="eastAsia" w:ascii="仿宋" w:hAnsi="仿宋" w:eastAsia="仿宋" w:cs="仿宋"/>
          <w:spacing w:val="0"/>
          <w:position w:val="0"/>
          <w:sz w:val="28"/>
          <w:szCs w:val="28"/>
          <w:u w:val="single"/>
          <w:lang w:val="en-US" w:eastAsia="zh-CN"/>
        </w:rPr>
        <w:t xml:space="preserve"> 26 </w:t>
      </w:r>
      <w:r>
        <w:rPr>
          <w:rFonts w:hint="eastAsia" w:ascii="仿宋" w:hAnsi="仿宋" w:eastAsia="仿宋" w:cs="仿宋"/>
          <w:spacing w:val="0"/>
          <w:position w:val="0"/>
          <w:sz w:val="28"/>
          <w:szCs w:val="28"/>
          <w:lang w:val="en-US" w:eastAsia="zh-CN"/>
        </w:rPr>
        <w:t>日</w:t>
      </w:r>
      <w:r>
        <w:rPr>
          <w:rFonts w:hint="eastAsia" w:ascii="仿宋" w:hAnsi="仿宋" w:eastAsia="仿宋" w:cs="仿宋"/>
          <w:b w:val="0"/>
          <w:bCs w:val="0"/>
          <w:spacing w:val="0"/>
          <w:kern w:val="2"/>
          <w:position w:val="0"/>
          <w:sz w:val="28"/>
          <w:szCs w:val="28"/>
          <w:lang w:val="en-US" w:eastAsia="zh-CN" w:bidi="ar-SA"/>
        </w:rPr>
        <w:t>上午9:00分在衡阳市国有资产投资控股集团有限公司4栋3楼评标室开标，如有变动将提前一天通知各参选单位。</w:t>
      </w:r>
    </w:p>
    <w:p w14:paraId="7D700B8C">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5272EF6D">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lang w:val="en-US" w:eastAsia="zh-CN"/>
        </w:rPr>
      </w:pPr>
      <w:r>
        <w:rPr>
          <w:rFonts w:hint="eastAsia" w:ascii="仿宋" w:hAnsi="仿宋" w:eastAsia="仿宋" w:cs="仿宋"/>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2E6E411D">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2.逾期送达的或者未送达指定地点的参选文件，比选人不予受理。</w:t>
      </w:r>
    </w:p>
    <w:p w14:paraId="450CE362">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295337CE">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本次比选公告在衡阳市国有资产投资控股集团有限公司官方网站（www.hxamc.com）上发布。</w:t>
      </w:r>
    </w:p>
    <w:p w14:paraId="16C756DE">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0BC0A0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比 选 人：衡阳市国有资产投资控股集团有限公司</w:t>
      </w:r>
    </w:p>
    <w:p w14:paraId="41EA460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i w:val="0"/>
          <w:iCs w:val="0"/>
          <w:caps w:val="0"/>
          <w:color w:val="595959"/>
          <w:spacing w:val="0"/>
          <w:sz w:val="28"/>
          <w:szCs w:val="28"/>
          <w:shd w:val="clear" w:fill="FFFFFF"/>
        </w:rPr>
      </w:pPr>
      <w:r>
        <w:rPr>
          <w:rFonts w:hint="eastAsia" w:ascii="仿宋" w:hAnsi="仿宋" w:eastAsia="仿宋" w:cs="仿宋"/>
          <w:b w:val="0"/>
          <w:bCs w:val="0"/>
          <w:spacing w:val="0"/>
          <w:kern w:val="2"/>
          <w:position w:val="0"/>
          <w:sz w:val="28"/>
          <w:szCs w:val="28"/>
          <w:lang w:val="en-US" w:eastAsia="zh-CN" w:bidi="ar-SA"/>
        </w:rPr>
        <w:t>地    址：</w:t>
      </w:r>
      <w:r>
        <w:rPr>
          <w:rFonts w:hint="eastAsia" w:ascii="仿宋" w:hAnsi="仿宋" w:eastAsia="仿宋" w:cs="仿宋"/>
          <w:i w:val="0"/>
          <w:iCs w:val="0"/>
          <w:caps w:val="0"/>
          <w:color w:val="595959"/>
          <w:spacing w:val="0"/>
          <w:sz w:val="28"/>
          <w:szCs w:val="28"/>
          <w:shd w:val="clear" w:fill="FFFFFF"/>
        </w:rPr>
        <w:t>衡阳市高新产业技术开发区（西二环）11号</w:t>
      </w:r>
    </w:p>
    <w:p w14:paraId="58E6084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人：陈先生</w:t>
      </w:r>
    </w:p>
    <w:p w14:paraId="002BB30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电    话：</w:t>
      </w:r>
      <w:r>
        <w:rPr>
          <w:rFonts w:hint="eastAsia" w:ascii="仿宋" w:hAnsi="仿宋" w:eastAsia="仿宋" w:cs="仿宋"/>
          <w:color w:val="auto"/>
          <w:kern w:val="0"/>
          <w:sz w:val="24"/>
          <w:szCs w:val="24"/>
          <w:highlight w:val="none"/>
          <w:lang w:val="en-US" w:eastAsia="zh-CN"/>
        </w:rPr>
        <w:t>0734-8888007</w:t>
      </w:r>
    </w:p>
    <w:p w14:paraId="4933AC3F">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5AC55F2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监督单位：中共衡阳市国有资产投资控股集团有限公司纪律检查委员会</w:t>
      </w:r>
    </w:p>
    <w:p w14:paraId="4672958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址：衡阳市高新产业技术开发区（西二环）11号1栋2楼208室</w:t>
      </w:r>
    </w:p>
    <w:p w14:paraId="27522119">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人：张女士、刘先生</w:t>
      </w:r>
    </w:p>
    <w:p w14:paraId="11D268B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电    话：0734-8888393</w:t>
      </w:r>
    </w:p>
    <w:p w14:paraId="0E6E8C41">
      <w:pPr>
        <w:rPr>
          <w:rFonts w:hint="eastAsia"/>
          <w:lang w:val="en-US" w:eastAsia="zh-CN"/>
        </w:rPr>
      </w:pPr>
    </w:p>
    <w:p w14:paraId="79563E2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1E3130A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5696DC6C">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743C3EC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6FEDA73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302DC89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36581EC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5F59732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20068C3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068678B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5F51A09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2D31E15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146F86C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3B1D0B2D">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仿宋" w:cs="Times New Roman"/>
          <w:bCs/>
          <w:kern w:val="44"/>
          <w:sz w:val="44"/>
          <w:szCs w:val="44"/>
          <w:lang w:val="en-US" w:eastAsia="zh-CN" w:bidi="ar-SA"/>
        </w:rPr>
      </w:pPr>
    </w:p>
    <w:p w14:paraId="60A43B0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34F9BF4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65ACB65E">
      <w:pPr>
        <w:rPr>
          <w:rFonts w:hint="eastAsia" w:ascii="Calibri" w:hAnsi="Calibri" w:eastAsia="仿宋" w:cs="Times New Roman"/>
          <w:bCs/>
          <w:kern w:val="44"/>
          <w:sz w:val="44"/>
          <w:szCs w:val="44"/>
          <w:lang w:val="en-US" w:eastAsia="zh-CN" w:bidi="ar-SA"/>
        </w:rPr>
      </w:pPr>
      <w:r>
        <w:rPr>
          <w:rFonts w:hint="eastAsia" w:ascii="Calibri" w:hAnsi="Calibri" w:eastAsia="仿宋" w:cs="Times New Roman"/>
          <w:bCs/>
          <w:kern w:val="44"/>
          <w:sz w:val="44"/>
          <w:szCs w:val="44"/>
          <w:lang w:val="en-US" w:eastAsia="zh-CN" w:bidi="ar-SA"/>
        </w:rPr>
        <w:br w:type="page"/>
      </w:r>
    </w:p>
    <w:p w14:paraId="4B78CAE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仿宋" w:cs="Times New Roman"/>
          <w:bCs/>
          <w:kern w:val="44"/>
          <w:sz w:val="44"/>
          <w:szCs w:val="44"/>
          <w:lang w:val="en-US" w:eastAsia="zh-CN" w:bidi="ar-SA"/>
        </w:rPr>
        <w:t>第二章  参选人须知</w:t>
      </w:r>
    </w:p>
    <w:p w14:paraId="7D4E4979">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1A687049">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8"/>
        <w:tblpPr w:leftFromText="180" w:rightFromText="180" w:vertAnchor="text" w:horzAnchor="page" w:tblpX="1274" w:tblpY="474"/>
        <w:tblOverlap w:val="never"/>
        <w:tblW w:w="4999" w:type="pct"/>
        <w:tblInd w:w="0" w:type="dxa"/>
        <w:tblLayout w:type="autofit"/>
        <w:tblCellMar>
          <w:top w:w="0" w:type="dxa"/>
          <w:left w:w="108" w:type="dxa"/>
          <w:bottom w:w="0" w:type="dxa"/>
          <w:right w:w="108" w:type="dxa"/>
        </w:tblCellMar>
      </w:tblPr>
      <w:tblGrid>
        <w:gridCol w:w="1033"/>
        <w:gridCol w:w="1326"/>
        <w:gridCol w:w="6161"/>
      </w:tblGrid>
      <w:tr w14:paraId="186E0EC4">
        <w:tblPrEx>
          <w:tblCellMar>
            <w:top w:w="0" w:type="dxa"/>
            <w:left w:w="108" w:type="dxa"/>
            <w:bottom w:w="0" w:type="dxa"/>
            <w:right w:w="108" w:type="dxa"/>
          </w:tblCellMar>
        </w:tblPrEx>
        <w:trPr>
          <w:trHeight w:val="551" w:hRule="atLeast"/>
        </w:trPr>
        <w:tc>
          <w:tcPr>
            <w:tcW w:w="606" w:type="pct"/>
            <w:tcBorders>
              <w:top w:val="single" w:color="000000" w:sz="4" w:space="0"/>
              <w:left w:val="single" w:color="000000" w:sz="4" w:space="0"/>
              <w:bottom w:val="single" w:color="000000" w:sz="4" w:space="0"/>
              <w:right w:val="single" w:color="000000" w:sz="4" w:space="0"/>
            </w:tcBorders>
          </w:tcPr>
          <w:p w14:paraId="74094D2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778" w:type="pct"/>
            <w:tcBorders>
              <w:top w:val="single" w:color="000000" w:sz="4" w:space="0"/>
              <w:left w:val="nil"/>
              <w:bottom w:val="single" w:color="000000" w:sz="4" w:space="0"/>
              <w:right w:val="single" w:color="000000" w:sz="4" w:space="0"/>
            </w:tcBorders>
          </w:tcPr>
          <w:p w14:paraId="3CD330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3615" w:type="pct"/>
            <w:tcBorders>
              <w:top w:val="single" w:color="000000" w:sz="4" w:space="0"/>
              <w:left w:val="nil"/>
              <w:bottom w:val="single" w:color="000000" w:sz="4" w:space="0"/>
              <w:right w:val="single" w:color="000000" w:sz="4" w:space="0"/>
            </w:tcBorders>
          </w:tcPr>
          <w:p w14:paraId="6EC1F06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309D67A7">
        <w:tblPrEx>
          <w:tblCellMar>
            <w:top w:w="0" w:type="dxa"/>
            <w:left w:w="108" w:type="dxa"/>
            <w:bottom w:w="0" w:type="dxa"/>
            <w:right w:w="108" w:type="dxa"/>
          </w:tblCellMar>
        </w:tblPrEx>
        <w:trPr>
          <w:trHeight w:val="1914"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4149C44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778" w:type="pct"/>
            <w:tcBorders>
              <w:top w:val="single" w:color="000000" w:sz="4" w:space="0"/>
              <w:left w:val="nil"/>
              <w:bottom w:val="single" w:color="000000" w:sz="4" w:space="0"/>
              <w:right w:val="single" w:color="000000" w:sz="4" w:space="0"/>
            </w:tcBorders>
            <w:vAlign w:val="center"/>
          </w:tcPr>
          <w:p w14:paraId="4D101C5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3615" w:type="pct"/>
            <w:tcBorders>
              <w:top w:val="single" w:color="000000" w:sz="4" w:space="0"/>
              <w:left w:val="nil"/>
              <w:bottom w:val="single" w:color="000000" w:sz="4" w:space="0"/>
              <w:right w:val="single" w:color="000000" w:sz="4" w:space="0"/>
            </w:tcBorders>
            <w:vAlign w:val="center"/>
          </w:tcPr>
          <w:p w14:paraId="37CD1AC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color w:val="auto"/>
                <w:kern w:val="0"/>
                <w:sz w:val="24"/>
                <w:szCs w:val="24"/>
                <w:highlight w:val="none"/>
              </w:rPr>
              <w:t xml:space="preserve">业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主：</w:t>
            </w:r>
            <w:r>
              <w:rPr>
                <w:rFonts w:hint="eastAsia" w:ascii="仿宋" w:hAnsi="仿宋" w:eastAsia="仿宋" w:cs="仿宋"/>
                <w:b w:val="0"/>
                <w:bCs w:val="0"/>
                <w:spacing w:val="0"/>
                <w:kern w:val="2"/>
                <w:position w:val="0"/>
                <w:sz w:val="24"/>
                <w:szCs w:val="24"/>
                <w:lang w:val="en-US" w:eastAsia="zh-CN" w:bidi="ar-SA"/>
              </w:rPr>
              <w:t>衡阳市国有资产投资控股集团有限公司</w:t>
            </w:r>
          </w:p>
          <w:p w14:paraId="1FC3641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地</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color w:val="auto"/>
                <w:kern w:val="0"/>
                <w:sz w:val="24"/>
                <w:szCs w:val="24"/>
                <w:highlight w:val="none"/>
                <w:lang w:eastAsia="zh-CN"/>
              </w:rPr>
              <w:t>：</w:t>
            </w:r>
            <w:r>
              <w:rPr>
                <w:rFonts w:hint="eastAsia" w:ascii="仿宋" w:hAnsi="仿宋" w:eastAsia="仿宋" w:cs="仿宋"/>
                <w:i w:val="0"/>
                <w:iCs w:val="0"/>
                <w:caps w:val="0"/>
                <w:color w:val="auto"/>
                <w:spacing w:val="0"/>
                <w:sz w:val="24"/>
                <w:szCs w:val="24"/>
                <w:shd w:val="clear" w:fill="FFFFFF"/>
              </w:rPr>
              <w:t>衡阳市高新产业技术开发区（西二环）11号</w:t>
            </w:r>
          </w:p>
          <w:p w14:paraId="29D793D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陈先生</w:t>
            </w:r>
          </w:p>
          <w:p w14:paraId="7F10389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0734-8888007</w:t>
            </w:r>
          </w:p>
        </w:tc>
      </w:tr>
      <w:tr w14:paraId="4AF48548">
        <w:tblPrEx>
          <w:tblCellMar>
            <w:top w:w="0" w:type="dxa"/>
            <w:left w:w="108" w:type="dxa"/>
            <w:bottom w:w="0" w:type="dxa"/>
            <w:right w:w="108" w:type="dxa"/>
          </w:tblCellMar>
        </w:tblPrEx>
        <w:trPr>
          <w:trHeight w:val="578"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6119FBB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778" w:type="pct"/>
            <w:tcBorders>
              <w:top w:val="single" w:color="000000" w:sz="4" w:space="0"/>
              <w:left w:val="nil"/>
              <w:bottom w:val="single" w:color="000000" w:sz="4" w:space="0"/>
              <w:right w:val="single" w:color="000000" w:sz="4" w:space="0"/>
            </w:tcBorders>
            <w:vAlign w:val="center"/>
          </w:tcPr>
          <w:p w14:paraId="5D74CC3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3615" w:type="pct"/>
            <w:tcBorders>
              <w:top w:val="single" w:color="000000" w:sz="4" w:space="0"/>
              <w:left w:val="nil"/>
              <w:bottom w:val="single" w:color="000000" w:sz="4" w:space="0"/>
              <w:right w:val="single" w:color="000000" w:sz="4" w:space="0"/>
            </w:tcBorders>
            <w:vAlign w:val="center"/>
          </w:tcPr>
          <w:p w14:paraId="2C30FFBB">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pacing w:val="15"/>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衡阳国投第三方安全服机构比选</w:t>
            </w:r>
          </w:p>
        </w:tc>
      </w:tr>
      <w:tr w14:paraId="2403C0CA">
        <w:tblPrEx>
          <w:tblCellMar>
            <w:top w:w="0" w:type="dxa"/>
            <w:left w:w="108" w:type="dxa"/>
            <w:bottom w:w="0" w:type="dxa"/>
            <w:right w:w="108" w:type="dxa"/>
          </w:tblCellMar>
        </w:tblPrEx>
        <w:trPr>
          <w:trHeight w:val="561"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116BE6A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778" w:type="pct"/>
            <w:tcBorders>
              <w:top w:val="single" w:color="000000" w:sz="4" w:space="0"/>
              <w:left w:val="nil"/>
              <w:bottom w:val="single" w:color="000000" w:sz="4" w:space="0"/>
              <w:right w:val="single" w:color="000000" w:sz="4" w:space="0"/>
            </w:tcBorders>
            <w:vAlign w:val="center"/>
          </w:tcPr>
          <w:p w14:paraId="70397A4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3615" w:type="pct"/>
            <w:tcBorders>
              <w:top w:val="single" w:color="000000" w:sz="4" w:space="0"/>
              <w:left w:val="nil"/>
              <w:bottom w:val="single" w:color="000000" w:sz="4" w:space="0"/>
              <w:right w:val="single" w:color="000000" w:sz="4" w:space="0"/>
            </w:tcBorders>
            <w:vAlign w:val="center"/>
          </w:tcPr>
          <w:p w14:paraId="01963E6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rPr>
              <w:t>充分发挥第三方</w:t>
            </w:r>
            <w:r>
              <w:rPr>
                <w:rFonts w:hint="eastAsia" w:ascii="仿宋" w:hAnsi="仿宋" w:eastAsia="仿宋" w:cs="仿宋"/>
                <w:i w:val="0"/>
                <w:iCs w:val="0"/>
                <w:caps w:val="0"/>
                <w:color w:val="auto"/>
                <w:spacing w:val="0"/>
                <w:sz w:val="24"/>
                <w:szCs w:val="24"/>
                <w:lang w:val="en-US" w:eastAsia="zh-CN"/>
              </w:rPr>
              <w:t>安全</w:t>
            </w:r>
            <w:r>
              <w:rPr>
                <w:rFonts w:hint="eastAsia" w:ascii="仿宋" w:hAnsi="仿宋" w:eastAsia="仿宋" w:cs="仿宋"/>
                <w:i w:val="0"/>
                <w:iCs w:val="0"/>
                <w:caps w:val="0"/>
                <w:color w:val="auto"/>
                <w:spacing w:val="0"/>
                <w:sz w:val="24"/>
                <w:szCs w:val="24"/>
              </w:rPr>
              <w:t>服务机构对安全生产技术支撑作用</w:t>
            </w:r>
            <w:r>
              <w:rPr>
                <w:rFonts w:hint="eastAsia" w:ascii="仿宋" w:hAnsi="仿宋" w:eastAsia="仿宋" w:cs="仿宋"/>
                <w:i w:val="0"/>
                <w:iCs w:val="0"/>
                <w:caps w:val="0"/>
                <w:color w:val="auto"/>
                <w:spacing w:val="0"/>
                <w:sz w:val="24"/>
                <w:szCs w:val="24"/>
                <w:lang w:eastAsia="zh-CN"/>
              </w:rPr>
              <w:t>，</w:t>
            </w:r>
            <w:r>
              <w:rPr>
                <w:rFonts w:hint="eastAsia" w:ascii="仿宋" w:hAnsi="仿宋" w:eastAsia="仿宋" w:cs="仿宋"/>
                <w:color w:val="auto"/>
                <w:sz w:val="24"/>
                <w:szCs w:val="24"/>
                <w:lang w:eastAsia="zh-CN"/>
              </w:rPr>
              <w:t>切实强化</w:t>
            </w:r>
            <w:r>
              <w:rPr>
                <w:rFonts w:hint="eastAsia" w:ascii="仿宋" w:hAnsi="仿宋" w:eastAsia="仿宋" w:cs="仿宋"/>
                <w:color w:val="auto"/>
                <w:sz w:val="24"/>
                <w:szCs w:val="24"/>
                <w:lang w:val="en-US" w:eastAsia="zh-CN"/>
              </w:rPr>
              <w:t>集团公司</w:t>
            </w:r>
            <w:r>
              <w:rPr>
                <w:rFonts w:hint="eastAsia" w:ascii="仿宋" w:hAnsi="仿宋" w:eastAsia="仿宋" w:cs="仿宋"/>
                <w:color w:val="auto"/>
                <w:sz w:val="24"/>
                <w:szCs w:val="24"/>
                <w:lang w:eastAsia="zh-CN"/>
              </w:rPr>
              <w:t>安全监管，全面落实企业安全</w:t>
            </w:r>
            <w:r>
              <w:rPr>
                <w:rFonts w:hint="eastAsia" w:ascii="仿宋" w:hAnsi="仿宋" w:eastAsia="仿宋" w:cs="仿宋"/>
                <w:color w:val="auto"/>
                <w:sz w:val="24"/>
                <w:szCs w:val="24"/>
                <w:lang w:val="en-US" w:eastAsia="zh-CN"/>
              </w:rPr>
              <w:t>生产</w:t>
            </w:r>
            <w:r>
              <w:rPr>
                <w:rFonts w:hint="eastAsia" w:ascii="仿宋" w:hAnsi="仿宋" w:eastAsia="仿宋" w:cs="仿宋"/>
                <w:color w:val="auto"/>
                <w:sz w:val="24"/>
                <w:szCs w:val="24"/>
                <w:lang w:eastAsia="zh-CN"/>
              </w:rPr>
              <w:t>主体责任，</w:t>
            </w:r>
            <w:r>
              <w:rPr>
                <w:rFonts w:hint="eastAsia" w:ascii="仿宋" w:hAnsi="仿宋" w:eastAsia="仿宋" w:cs="仿宋"/>
                <w:i w:val="0"/>
                <w:iCs w:val="0"/>
                <w:caps w:val="0"/>
                <w:color w:val="auto"/>
                <w:spacing w:val="0"/>
                <w:sz w:val="24"/>
                <w:szCs w:val="24"/>
                <w:shd w:val="clear" w:color="auto" w:fill="FFFFFF"/>
                <w:lang w:eastAsia="zh-CN"/>
              </w:rPr>
              <w:t>健全</w:t>
            </w:r>
            <w:r>
              <w:rPr>
                <w:rFonts w:hint="eastAsia" w:ascii="仿宋" w:hAnsi="仿宋" w:eastAsia="仿宋" w:cs="仿宋"/>
                <w:i w:val="0"/>
                <w:iCs w:val="0"/>
                <w:caps w:val="0"/>
                <w:color w:val="auto"/>
                <w:spacing w:val="0"/>
                <w:sz w:val="24"/>
                <w:szCs w:val="24"/>
                <w:shd w:val="clear" w:color="auto" w:fill="FFFFFF"/>
              </w:rPr>
              <w:t>安全生产责任体系，完善安全风险防控机制，</w:t>
            </w:r>
            <w:r>
              <w:rPr>
                <w:rFonts w:hint="eastAsia" w:ascii="仿宋" w:hAnsi="仿宋" w:eastAsia="仿宋" w:cs="仿宋"/>
                <w:i w:val="0"/>
                <w:iCs w:val="0"/>
                <w:caps w:val="0"/>
                <w:color w:val="auto"/>
                <w:spacing w:val="0"/>
                <w:sz w:val="24"/>
                <w:szCs w:val="24"/>
              </w:rPr>
              <w:t>加强安全生产技术服务、监督管理，规范安全技术、安全评价、安全培训等</w:t>
            </w:r>
            <w:r>
              <w:rPr>
                <w:rFonts w:hint="eastAsia" w:ascii="仿宋" w:hAnsi="仿宋" w:eastAsia="仿宋" w:cs="仿宋"/>
                <w:i w:val="0"/>
                <w:iCs w:val="0"/>
                <w:caps w:val="0"/>
                <w:color w:val="auto"/>
                <w:spacing w:val="0"/>
                <w:sz w:val="24"/>
                <w:szCs w:val="24"/>
                <w:lang w:val="en-US" w:eastAsia="zh-CN"/>
              </w:rPr>
              <w:t>工作</w:t>
            </w:r>
            <w:r>
              <w:rPr>
                <w:rFonts w:hint="eastAsia" w:ascii="仿宋" w:hAnsi="仿宋" w:eastAsia="仿宋" w:cs="仿宋"/>
                <w:i w:val="0"/>
                <w:iCs w:val="0"/>
                <w:caps w:val="0"/>
                <w:color w:val="auto"/>
                <w:spacing w:val="0"/>
                <w:sz w:val="24"/>
                <w:szCs w:val="24"/>
              </w:rPr>
              <w:t>，</w:t>
            </w:r>
            <w:r>
              <w:rPr>
                <w:rFonts w:hint="eastAsia" w:ascii="仿宋" w:hAnsi="仿宋" w:eastAsia="仿宋" w:cs="仿宋"/>
                <w:color w:val="auto"/>
                <w:sz w:val="24"/>
                <w:szCs w:val="24"/>
                <w:lang w:eastAsia="zh-CN"/>
              </w:rPr>
              <w:t>进一步提升</w:t>
            </w:r>
            <w:r>
              <w:rPr>
                <w:rFonts w:hint="eastAsia" w:ascii="仿宋" w:hAnsi="仿宋" w:eastAsia="仿宋" w:cs="仿宋"/>
                <w:color w:val="auto"/>
                <w:sz w:val="24"/>
                <w:szCs w:val="24"/>
                <w:lang w:val="en-US" w:eastAsia="zh-CN"/>
              </w:rPr>
              <w:t>企业</w:t>
            </w:r>
            <w:r>
              <w:rPr>
                <w:rFonts w:hint="eastAsia" w:ascii="仿宋" w:hAnsi="仿宋" w:eastAsia="仿宋" w:cs="仿宋"/>
                <w:color w:val="auto"/>
                <w:sz w:val="24"/>
                <w:szCs w:val="24"/>
                <w:lang w:eastAsia="zh-CN"/>
              </w:rPr>
              <w:t>风险管控能力水平，从源头上预防与减少生产安全事故，使</w:t>
            </w:r>
            <w:r>
              <w:rPr>
                <w:rFonts w:hint="eastAsia" w:ascii="仿宋" w:hAnsi="仿宋" w:eastAsia="仿宋" w:cs="仿宋"/>
                <w:color w:val="auto"/>
                <w:sz w:val="24"/>
                <w:szCs w:val="24"/>
                <w:lang w:val="en-US" w:eastAsia="zh-CN"/>
              </w:rPr>
              <w:t>企业安全管理</w:t>
            </w:r>
            <w:r>
              <w:rPr>
                <w:rFonts w:hint="eastAsia" w:ascii="仿宋" w:hAnsi="仿宋" w:eastAsia="仿宋" w:cs="仿宋"/>
                <w:color w:val="auto"/>
                <w:sz w:val="24"/>
                <w:szCs w:val="24"/>
                <w:lang w:eastAsia="zh-CN"/>
              </w:rPr>
              <w:t>工作逐步科学化、制度化、规范化</w:t>
            </w:r>
            <w:r>
              <w:rPr>
                <w:rFonts w:hint="eastAsia" w:ascii="仿宋" w:hAnsi="仿宋" w:eastAsia="仿宋" w:cs="仿宋"/>
                <w:sz w:val="28"/>
                <w:szCs w:val="28"/>
                <w:lang w:eastAsia="zh-CN"/>
              </w:rPr>
              <w:t>。</w:t>
            </w:r>
          </w:p>
        </w:tc>
      </w:tr>
      <w:tr w14:paraId="022E6040">
        <w:tblPrEx>
          <w:tblCellMar>
            <w:top w:w="0" w:type="dxa"/>
            <w:left w:w="108" w:type="dxa"/>
            <w:bottom w:w="0" w:type="dxa"/>
            <w:right w:w="108" w:type="dxa"/>
          </w:tblCellMar>
        </w:tblPrEx>
        <w:trPr>
          <w:trHeight w:val="554"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7472B71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778" w:type="pct"/>
            <w:tcBorders>
              <w:top w:val="single" w:color="000000" w:sz="4" w:space="0"/>
              <w:left w:val="nil"/>
              <w:bottom w:val="single" w:color="000000" w:sz="4" w:space="0"/>
              <w:right w:val="single" w:color="000000" w:sz="4" w:space="0"/>
            </w:tcBorders>
            <w:vAlign w:val="center"/>
          </w:tcPr>
          <w:p w14:paraId="5CF209B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3615" w:type="pct"/>
            <w:tcBorders>
              <w:top w:val="single" w:color="000000" w:sz="4" w:space="0"/>
              <w:left w:val="nil"/>
              <w:bottom w:val="single" w:color="000000" w:sz="4" w:space="0"/>
              <w:right w:val="single" w:color="000000" w:sz="4" w:space="0"/>
            </w:tcBorders>
            <w:vAlign w:val="center"/>
          </w:tcPr>
          <w:p w14:paraId="4B6ADDAC">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企业自筹</w:t>
            </w:r>
          </w:p>
        </w:tc>
      </w:tr>
      <w:tr w14:paraId="5F9E19F9">
        <w:tblPrEx>
          <w:tblCellMar>
            <w:top w:w="0" w:type="dxa"/>
            <w:left w:w="108" w:type="dxa"/>
            <w:bottom w:w="0" w:type="dxa"/>
            <w:right w:w="108" w:type="dxa"/>
          </w:tblCellMar>
        </w:tblPrEx>
        <w:trPr>
          <w:trHeight w:val="566"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47DF652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778" w:type="pct"/>
            <w:tcBorders>
              <w:top w:val="single" w:color="000000" w:sz="4" w:space="0"/>
              <w:left w:val="nil"/>
              <w:bottom w:val="single" w:color="000000" w:sz="4" w:space="0"/>
              <w:right w:val="single" w:color="000000" w:sz="4" w:space="0"/>
            </w:tcBorders>
            <w:vAlign w:val="center"/>
          </w:tcPr>
          <w:p w14:paraId="3A901E1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3615" w:type="pct"/>
            <w:tcBorders>
              <w:top w:val="single" w:color="000000" w:sz="4" w:space="0"/>
              <w:left w:val="nil"/>
              <w:bottom w:val="single" w:color="000000" w:sz="4" w:space="0"/>
              <w:right w:val="single" w:color="000000" w:sz="4" w:space="0"/>
            </w:tcBorders>
            <w:vAlign w:val="center"/>
          </w:tcPr>
          <w:p w14:paraId="2231C744">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lang w:val="en-US" w:eastAsia="zh-CN"/>
              </w:rPr>
              <w:t>负责完成</w:t>
            </w:r>
            <w:r>
              <w:rPr>
                <w:rFonts w:hint="eastAsia" w:ascii="仿宋" w:hAnsi="仿宋" w:eastAsia="仿宋" w:cs="仿宋"/>
                <w:sz w:val="24"/>
                <w:szCs w:val="24"/>
                <w:lang w:eastAsia="zh-CN"/>
              </w:rPr>
              <w:t>安全目标制定及考核、安全生产制度建设、安全生产督查检查、安全生产专项整治、安全生产教育培训、安全文化与档案管理、日常工作</w:t>
            </w:r>
            <w:r>
              <w:rPr>
                <w:rFonts w:hint="eastAsia" w:ascii="仿宋" w:hAnsi="仿宋" w:eastAsia="仿宋" w:cs="仿宋"/>
                <w:sz w:val="24"/>
                <w:szCs w:val="24"/>
                <w:lang w:val="en-US" w:eastAsia="zh-CN"/>
              </w:rPr>
              <w:t>等其他工作。</w:t>
            </w:r>
            <w:r>
              <w:rPr>
                <w:rFonts w:hint="eastAsia" w:ascii="仿宋" w:hAnsi="仿宋" w:eastAsia="仿宋" w:cs="仿宋"/>
                <w:sz w:val="32"/>
                <w:szCs w:val="32"/>
                <w:lang w:eastAsia="zh-CN"/>
              </w:rPr>
              <w:t xml:space="preserve"> </w:t>
            </w:r>
          </w:p>
        </w:tc>
      </w:tr>
      <w:tr w14:paraId="73E62F56">
        <w:tblPrEx>
          <w:tblCellMar>
            <w:top w:w="0" w:type="dxa"/>
            <w:left w:w="108" w:type="dxa"/>
            <w:bottom w:w="0" w:type="dxa"/>
            <w:right w:w="108" w:type="dxa"/>
          </w:tblCellMar>
        </w:tblPrEx>
        <w:trPr>
          <w:trHeight w:val="587"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7416852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778" w:type="pct"/>
            <w:tcBorders>
              <w:top w:val="single" w:color="000000" w:sz="4" w:space="0"/>
              <w:left w:val="nil"/>
              <w:bottom w:val="single" w:color="000000" w:sz="4" w:space="0"/>
              <w:right w:val="single" w:color="000000" w:sz="4" w:space="0"/>
            </w:tcBorders>
            <w:vAlign w:val="center"/>
          </w:tcPr>
          <w:p w14:paraId="05CFF8F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3615" w:type="pct"/>
            <w:tcBorders>
              <w:top w:val="single" w:color="000000" w:sz="4" w:space="0"/>
              <w:left w:val="nil"/>
              <w:bottom w:val="single" w:color="000000" w:sz="4" w:space="0"/>
              <w:right w:val="single" w:color="000000" w:sz="4" w:space="0"/>
            </w:tcBorders>
            <w:vAlign w:val="center"/>
          </w:tcPr>
          <w:p w14:paraId="6FBBAE9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壹年</w:t>
            </w:r>
          </w:p>
        </w:tc>
      </w:tr>
      <w:tr w14:paraId="51B634C0">
        <w:tblPrEx>
          <w:tblCellMar>
            <w:top w:w="0" w:type="dxa"/>
            <w:left w:w="108" w:type="dxa"/>
            <w:bottom w:w="0" w:type="dxa"/>
            <w:right w:w="108" w:type="dxa"/>
          </w:tblCellMar>
        </w:tblPrEx>
        <w:trPr>
          <w:trHeight w:val="1291"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39D2574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778" w:type="pct"/>
            <w:tcBorders>
              <w:top w:val="single" w:color="000000" w:sz="4" w:space="0"/>
              <w:left w:val="nil"/>
              <w:bottom w:val="single" w:color="000000" w:sz="4" w:space="0"/>
              <w:right w:val="single" w:color="000000" w:sz="4" w:space="0"/>
            </w:tcBorders>
            <w:vAlign w:val="center"/>
          </w:tcPr>
          <w:p w14:paraId="7921BA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3615" w:type="pct"/>
            <w:tcBorders>
              <w:top w:val="single" w:color="000000" w:sz="4" w:space="0"/>
              <w:left w:val="nil"/>
              <w:bottom w:val="single" w:color="000000" w:sz="4" w:space="0"/>
              <w:right w:val="single" w:color="000000" w:sz="4" w:space="0"/>
            </w:tcBorders>
            <w:vAlign w:val="center"/>
          </w:tcPr>
          <w:p w14:paraId="0F79855D">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1.具有独立法人资格并依法取得营业执照，营业执照处于有效期。</w:t>
            </w:r>
          </w:p>
          <w:p w14:paraId="1884A664">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2.资质要求：具备</w:t>
            </w:r>
            <w:r>
              <w:rPr>
                <w:rFonts w:hint="eastAsia" w:ascii="仿宋" w:hAnsi="仿宋" w:eastAsia="仿宋" w:cs="仿宋"/>
                <w:b w:val="0"/>
                <w:bCs w:val="0"/>
                <w:spacing w:val="0"/>
                <w:kern w:val="2"/>
                <w:position w:val="0"/>
                <w:sz w:val="24"/>
                <w:szCs w:val="24"/>
                <w:u w:val="single"/>
                <w:lang w:val="en-US" w:eastAsia="zh-CN" w:bidi="ar-SA"/>
              </w:rPr>
              <w:t xml:space="preserve"> 湖南省应急管理厅</w:t>
            </w:r>
            <w:r>
              <w:rPr>
                <w:rFonts w:hint="default" w:ascii="仿宋" w:hAnsi="仿宋" w:eastAsia="仿宋" w:cs="仿宋"/>
                <w:b w:val="0"/>
                <w:bCs w:val="0"/>
                <w:spacing w:val="0"/>
                <w:kern w:val="2"/>
                <w:position w:val="0"/>
                <w:sz w:val="24"/>
                <w:szCs w:val="24"/>
                <w:lang w:val="en-US" w:eastAsia="zh-CN" w:bidi="ar-SA"/>
              </w:rPr>
              <w:t>主管部门颁发的</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湖南省企业三项岗位人员培训</w:t>
            </w:r>
            <w:r>
              <w:rPr>
                <w:rFonts w:hint="default" w:ascii="仿宋" w:hAnsi="仿宋" w:eastAsia="仿宋" w:cs="仿宋"/>
                <w:b w:val="0"/>
                <w:bCs w:val="0"/>
                <w:spacing w:val="0"/>
                <w:kern w:val="2"/>
                <w:position w:val="0"/>
                <w:sz w:val="24"/>
                <w:szCs w:val="24"/>
                <w:lang w:val="en-US" w:eastAsia="zh-CN" w:bidi="ar-SA"/>
              </w:rPr>
              <w:t>资质，资质证书处于有效期。</w:t>
            </w:r>
            <w:r>
              <w:rPr>
                <w:rFonts w:hint="eastAsia" w:ascii="仿宋" w:hAnsi="仿宋" w:eastAsia="仿宋" w:cs="仿宋"/>
                <w:b w:val="0"/>
                <w:bCs w:val="0"/>
                <w:spacing w:val="0"/>
                <w:kern w:val="2"/>
                <w:position w:val="0"/>
                <w:sz w:val="24"/>
                <w:szCs w:val="24"/>
                <w:lang w:val="en-US" w:eastAsia="zh-CN" w:bidi="ar-SA"/>
              </w:rPr>
              <w:t>、</w:t>
            </w:r>
          </w:p>
          <w:p w14:paraId="2AE5A053">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3.类似项目业绩要求：</w:t>
            </w:r>
          </w:p>
          <w:p w14:paraId="5E194DE8">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14:paraId="6E93749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提供:近3年内（</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2022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月至</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2024</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月）不少于</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 xml:space="preserve">   个</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单项合同金额不低于174000元企业安全服务</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的类似项目业绩。</w:t>
            </w:r>
          </w:p>
          <w:p w14:paraId="3923670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 xml:space="preserve">类似项目业绩是指: </w:t>
            </w:r>
            <w:r>
              <w:rPr>
                <w:rFonts w:hint="eastAsia" w:ascii="仿宋" w:hAnsi="仿宋" w:eastAsia="仿宋" w:cs="仿宋"/>
                <w:b w:val="0"/>
                <w:bCs w:val="0"/>
                <w:spacing w:val="0"/>
                <w:kern w:val="2"/>
                <w:position w:val="0"/>
                <w:sz w:val="24"/>
                <w:szCs w:val="24"/>
                <w:lang w:val="en-US" w:eastAsia="zh-CN" w:bidi="ar-SA"/>
              </w:rPr>
              <w:t>为企业提供第三方安全服务。</w:t>
            </w:r>
            <w:r>
              <w:rPr>
                <w:rFonts w:hint="default" w:ascii="仿宋" w:hAnsi="仿宋" w:eastAsia="仿宋" w:cs="仿宋"/>
                <w:b w:val="0"/>
                <w:bCs w:val="0"/>
                <w:spacing w:val="0"/>
                <w:kern w:val="2"/>
                <w:position w:val="0"/>
                <w:sz w:val="24"/>
                <w:szCs w:val="24"/>
                <w:lang w:val="en-US" w:eastAsia="zh-CN" w:bidi="ar-SA"/>
              </w:rPr>
              <w:t xml:space="preserve">         </w:t>
            </w:r>
          </w:p>
          <w:p w14:paraId="15FC002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4.项目负责人要求：</w:t>
            </w:r>
          </w:p>
          <w:p w14:paraId="717DE9A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14:paraId="2867242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提供:拟任项目负责人须具有</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spacing w:val="0"/>
                <w:position w:val="0"/>
                <w:sz w:val="24"/>
                <w:szCs w:val="24"/>
                <w:u w:val="single"/>
                <w:lang w:val="en-US" w:eastAsia="zh-CN"/>
              </w:rPr>
              <w:t>国家注册安全工程师证书</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，且为本单位在职员工，并提供劳动和社会保障部门出具的投标截止时间前近半年连续6个月（</w:t>
            </w:r>
            <w:r>
              <w:rPr>
                <w:rFonts w:hint="eastAsia" w:ascii="仿宋" w:hAnsi="仿宋" w:eastAsia="仿宋" w:cs="仿宋"/>
                <w:b w:val="0"/>
                <w:bCs w:val="0"/>
                <w:spacing w:val="0"/>
                <w:kern w:val="2"/>
                <w:position w:val="0"/>
                <w:sz w:val="24"/>
                <w:szCs w:val="24"/>
                <w:u w:val="single"/>
                <w:lang w:val="en-US" w:eastAsia="zh-CN" w:bidi="ar-SA"/>
              </w:rPr>
              <w:t>2024</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eastAsia" w:ascii="仿宋" w:hAnsi="仿宋" w:eastAsia="仿宋" w:cs="仿宋"/>
                <w:b w:val="0"/>
                <w:bCs w:val="0"/>
                <w:spacing w:val="0"/>
                <w:kern w:val="2"/>
                <w:position w:val="0"/>
                <w:sz w:val="24"/>
                <w:szCs w:val="24"/>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7</w:t>
            </w:r>
            <w:r>
              <w:rPr>
                <w:rFonts w:hint="default" w:ascii="仿宋" w:hAnsi="仿宋" w:eastAsia="仿宋" w:cs="仿宋"/>
                <w:b w:val="0"/>
                <w:bCs w:val="0"/>
                <w:spacing w:val="0"/>
                <w:kern w:val="2"/>
                <w:position w:val="0"/>
                <w:sz w:val="24"/>
                <w:szCs w:val="24"/>
                <w:lang w:val="en-US" w:eastAsia="zh-CN" w:bidi="ar-SA"/>
              </w:rPr>
              <w:t>月至</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2024</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月）的社保证明。</w:t>
            </w:r>
          </w:p>
          <w:p w14:paraId="146B156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5.其他人员要求：</w:t>
            </w:r>
          </w:p>
          <w:p w14:paraId="7FA4D71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14:paraId="152A2E8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□提供:</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w:t>
            </w:r>
          </w:p>
          <w:p w14:paraId="119ACA1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6.信誉要求：近三年内，在经营活动中无不良记录。</w:t>
            </w:r>
          </w:p>
          <w:p w14:paraId="40EE8F7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7.关联要求：参选单位法定代表人为同一人或者存在直接控股、管理关系的不同参选人，不得同时参加本次比选。</w:t>
            </w:r>
          </w:p>
          <w:p w14:paraId="6AB68BC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8.联合体要求：本次比选不接受联合体参加。</w:t>
            </w:r>
          </w:p>
        </w:tc>
      </w:tr>
      <w:tr w14:paraId="4530B77F">
        <w:tblPrEx>
          <w:tblCellMar>
            <w:top w:w="0" w:type="dxa"/>
            <w:left w:w="108" w:type="dxa"/>
            <w:bottom w:w="0" w:type="dxa"/>
            <w:right w:w="108" w:type="dxa"/>
          </w:tblCellMar>
        </w:tblPrEx>
        <w:trPr>
          <w:trHeight w:val="1492"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34A098E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778" w:type="pct"/>
            <w:tcBorders>
              <w:top w:val="single" w:color="000000" w:sz="4" w:space="0"/>
              <w:left w:val="nil"/>
              <w:bottom w:val="single" w:color="000000" w:sz="4" w:space="0"/>
              <w:right w:val="single" w:color="000000" w:sz="4" w:space="0"/>
            </w:tcBorders>
          </w:tcPr>
          <w:p w14:paraId="269735D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3615" w:type="pct"/>
            <w:tcBorders>
              <w:top w:val="single" w:color="000000" w:sz="4" w:space="0"/>
              <w:left w:val="nil"/>
              <w:bottom w:val="single" w:color="000000" w:sz="4" w:space="0"/>
              <w:right w:val="single" w:color="000000" w:sz="4" w:space="0"/>
            </w:tcBorders>
            <w:vAlign w:val="center"/>
          </w:tcPr>
          <w:p w14:paraId="6C4480DD">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202</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26</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日</w:t>
            </w:r>
            <w:r>
              <w:rPr>
                <w:rFonts w:hint="eastAsia" w:ascii="仿宋" w:hAnsi="仿宋" w:eastAsia="仿宋" w:cs="仿宋"/>
                <w:color w:val="auto"/>
                <w:kern w:val="0"/>
                <w:sz w:val="24"/>
                <w:szCs w:val="24"/>
                <w:highlight w:val="none"/>
                <w:lang w:val="en-US" w:eastAsia="zh-CN"/>
              </w:rPr>
              <w:t>上午9</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3DB88404">
        <w:tblPrEx>
          <w:tblCellMar>
            <w:top w:w="0" w:type="dxa"/>
            <w:left w:w="108" w:type="dxa"/>
            <w:bottom w:w="0" w:type="dxa"/>
            <w:right w:w="108" w:type="dxa"/>
          </w:tblCellMar>
        </w:tblPrEx>
        <w:trPr>
          <w:trHeight w:val="2207"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3D34E0A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778" w:type="pct"/>
            <w:tcBorders>
              <w:top w:val="single" w:color="000000" w:sz="4" w:space="0"/>
              <w:left w:val="nil"/>
              <w:bottom w:val="single" w:color="000000" w:sz="4" w:space="0"/>
              <w:right w:val="single" w:color="000000" w:sz="4" w:space="0"/>
            </w:tcBorders>
            <w:vAlign w:val="top"/>
          </w:tcPr>
          <w:p w14:paraId="58C9B023">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3615" w:type="pct"/>
            <w:tcBorders>
              <w:top w:val="single" w:color="000000" w:sz="4" w:space="0"/>
              <w:left w:val="nil"/>
              <w:bottom w:val="single" w:color="000000" w:sz="4" w:space="0"/>
              <w:right w:val="single" w:color="000000" w:sz="4" w:space="0"/>
            </w:tcBorders>
            <w:vAlign w:val="center"/>
          </w:tcPr>
          <w:p w14:paraId="0FA14EF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289CD742">
        <w:tblPrEx>
          <w:tblCellMar>
            <w:top w:w="0" w:type="dxa"/>
            <w:left w:w="108" w:type="dxa"/>
            <w:bottom w:w="0" w:type="dxa"/>
            <w:right w:w="108" w:type="dxa"/>
          </w:tblCellMar>
        </w:tblPrEx>
        <w:trPr>
          <w:trHeight w:val="1331"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64D2D526">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778" w:type="pct"/>
            <w:tcBorders>
              <w:top w:val="single" w:color="000000" w:sz="4" w:space="0"/>
              <w:left w:val="nil"/>
              <w:bottom w:val="single" w:color="000000" w:sz="4" w:space="0"/>
              <w:right w:val="single" w:color="000000" w:sz="4" w:space="0"/>
            </w:tcBorders>
            <w:vAlign w:val="center"/>
          </w:tcPr>
          <w:p w14:paraId="3471070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3615" w:type="pct"/>
            <w:tcBorders>
              <w:top w:val="single" w:color="000000" w:sz="4" w:space="0"/>
              <w:left w:val="nil"/>
              <w:bottom w:val="single" w:color="000000" w:sz="4" w:space="0"/>
              <w:right w:val="single" w:color="000000" w:sz="4" w:space="0"/>
            </w:tcBorders>
            <w:vAlign w:val="center"/>
          </w:tcPr>
          <w:p w14:paraId="731BA21A">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F5762BE">
        <w:tblPrEx>
          <w:tblCellMar>
            <w:top w:w="0" w:type="dxa"/>
            <w:left w:w="108" w:type="dxa"/>
            <w:bottom w:w="0" w:type="dxa"/>
            <w:right w:w="108" w:type="dxa"/>
          </w:tblCellMar>
        </w:tblPrEx>
        <w:trPr>
          <w:trHeight w:val="1284"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655974B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778" w:type="pct"/>
            <w:tcBorders>
              <w:top w:val="single" w:color="000000" w:sz="4" w:space="0"/>
              <w:left w:val="nil"/>
              <w:bottom w:val="single" w:color="000000" w:sz="4" w:space="0"/>
              <w:right w:val="single" w:color="000000" w:sz="4" w:space="0"/>
            </w:tcBorders>
            <w:vAlign w:val="center"/>
          </w:tcPr>
          <w:p w14:paraId="099CCF1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3615" w:type="pct"/>
            <w:tcBorders>
              <w:top w:val="single" w:color="000000" w:sz="4" w:space="0"/>
              <w:left w:val="nil"/>
              <w:bottom w:val="single" w:color="000000" w:sz="4" w:space="0"/>
              <w:right w:val="single" w:color="000000" w:sz="4" w:space="0"/>
            </w:tcBorders>
            <w:vAlign w:val="center"/>
          </w:tcPr>
          <w:p w14:paraId="586294D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F173840">
        <w:tblPrEx>
          <w:tblCellMar>
            <w:top w:w="0" w:type="dxa"/>
            <w:left w:w="108" w:type="dxa"/>
            <w:bottom w:w="0" w:type="dxa"/>
            <w:right w:w="108" w:type="dxa"/>
          </w:tblCellMar>
        </w:tblPrEx>
        <w:trPr>
          <w:trHeight w:val="1761"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68AED23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778" w:type="pct"/>
            <w:tcBorders>
              <w:top w:val="single" w:color="000000" w:sz="4" w:space="0"/>
              <w:left w:val="nil"/>
              <w:bottom w:val="single" w:color="000000" w:sz="4" w:space="0"/>
              <w:right w:val="single" w:color="000000" w:sz="4" w:space="0"/>
            </w:tcBorders>
            <w:vAlign w:val="center"/>
          </w:tcPr>
          <w:p w14:paraId="0AE0E46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5BE2E335">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3615" w:type="pct"/>
            <w:tcBorders>
              <w:top w:val="single" w:color="000000" w:sz="4" w:space="0"/>
              <w:left w:val="nil"/>
              <w:bottom w:val="single" w:color="000000" w:sz="4" w:space="0"/>
              <w:right w:val="single" w:color="000000" w:sz="4" w:space="0"/>
            </w:tcBorders>
            <w:vAlign w:val="center"/>
          </w:tcPr>
          <w:p w14:paraId="4C6DF4E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15BCC710">
        <w:tblPrEx>
          <w:tblCellMar>
            <w:top w:w="0" w:type="dxa"/>
            <w:left w:w="108" w:type="dxa"/>
            <w:bottom w:w="0" w:type="dxa"/>
            <w:right w:w="108" w:type="dxa"/>
          </w:tblCellMar>
        </w:tblPrEx>
        <w:trPr>
          <w:trHeight w:val="731"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5648E67D">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778" w:type="pct"/>
            <w:tcBorders>
              <w:top w:val="single" w:color="000000" w:sz="4" w:space="0"/>
              <w:left w:val="nil"/>
              <w:bottom w:val="single" w:color="000000" w:sz="4" w:space="0"/>
              <w:right w:val="single" w:color="000000" w:sz="4" w:space="0"/>
            </w:tcBorders>
            <w:vAlign w:val="center"/>
          </w:tcPr>
          <w:p w14:paraId="40ABCAF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3615" w:type="pct"/>
            <w:tcBorders>
              <w:top w:val="single" w:color="000000" w:sz="4" w:space="0"/>
              <w:left w:val="nil"/>
              <w:bottom w:val="single" w:color="000000" w:sz="4" w:space="0"/>
              <w:right w:val="single" w:color="000000" w:sz="4" w:space="0"/>
            </w:tcBorders>
            <w:vAlign w:val="center"/>
          </w:tcPr>
          <w:p w14:paraId="69AC9E2B">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14:paraId="432DFF48">
        <w:tblPrEx>
          <w:tblCellMar>
            <w:top w:w="0" w:type="dxa"/>
            <w:left w:w="108" w:type="dxa"/>
            <w:bottom w:w="0" w:type="dxa"/>
            <w:right w:w="108" w:type="dxa"/>
          </w:tblCellMar>
        </w:tblPrEx>
        <w:trPr>
          <w:trHeight w:val="756"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43C171B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778" w:type="pct"/>
            <w:tcBorders>
              <w:top w:val="single" w:color="000000" w:sz="4" w:space="0"/>
              <w:left w:val="nil"/>
              <w:bottom w:val="single" w:color="000000" w:sz="4" w:space="0"/>
              <w:right w:val="single" w:color="000000" w:sz="4" w:space="0"/>
            </w:tcBorders>
            <w:vAlign w:val="center"/>
          </w:tcPr>
          <w:p w14:paraId="57B33D3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0898C4B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3615" w:type="pct"/>
            <w:tcBorders>
              <w:top w:val="single" w:color="000000" w:sz="4" w:space="0"/>
              <w:left w:val="nil"/>
              <w:bottom w:val="single" w:color="000000" w:sz="4" w:space="0"/>
              <w:right w:val="single" w:color="000000" w:sz="4" w:space="0"/>
            </w:tcBorders>
            <w:vAlign w:val="center"/>
          </w:tcPr>
          <w:p w14:paraId="5FF4A4D1">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5D4E4C4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11600 </w:t>
            </w:r>
            <w:r>
              <w:rPr>
                <w:rFonts w:hint="eastAsia" w:ascii="仿宋" w:hAnsi="仿宋" w:eastAsia="仿宋" w:cs="仿宋"/>
                <w:color w:val="auto"/>
                <w:kern w:val="0"/>
                <w:sz w:val="24"/>
                <w:szCs w:val="24"/>
                <w:highlight w:val="none"/>
                <w:lang w:val="en-US" w:eastAsia="zh-CN"/>
              </w:rPr>
              <w:t>元。</w:t>
            </w:r>
          </w:p>
        </w:tc>
      </w:tr>
      <w:tr w14:paraId="204B9302">
        <w:tblPrEx>
          <w:tblCellMar>
            <w:top w:w="0" w:type="dxa"/>
            <w:left w:w="108" w:type="dxa"/>
            <w:bottom w:w="0" w:type="dxa"/>
            <w:right w:w="108" w:type="dxa"/>
          </w:tblCellMar>
        </w:tblPrEx>
        <w:trPr>
          <w:trHeight w:val="756"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483103A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778" w:type="pct"/>
            <w:tcBorders>
              <w:top w:val="single" w:color="000000" w:sz="4" w:space="0"/>
              <w:left w:val="nil"/>
              <w:bottom w:val="single" w:color="000000" w:sz="4" w:space="0"/>
              <w:right w:val="single" w:color="000000" w:sz="4" w:space="0"/>
            </w:tcBorders>
            <w:vAlign w:val="center"/>
          </w:tcPr>
          <w:p w14:paraId="12E69AC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3615" w:type="pct"/>
            <w:tcBorders>
              <w:top w:val="single" w:color="000000" w:sz="4" w:space="0"/>
              <w:left w:val="nil"/>
              <w:bottom w:val="single" w:color="000000" w:sz="4" w:space="0"/>
              <w:right w:val="single" w:color="000000" w:sz="4" w:space="0"/>
            </w:tcBorders>
            <w:vAlign w:val="center"/>
          </w:tcPr>
          <w:p w14:paraId="04A0E9CB">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 本项目采用</w:t>
            </w:r>
            <w:r>
              <w:rPr>
                <w:rFonts w:hint="eastAsia" w:ascii="仿宋" w:hAnsi="仿宋" w:eastAsia="仿宋" w:cs="仿宋"/>
                <w:color w:val="auto"/>
                <w:kern w:val="0"/>
                <w:sz w:val="24"/>
                <w:szCs w:val="24"/>
                <w:highlight w:val="none"/>
                <w:u w:val="none"/>
                <w:lang w:val="en-US" w:eastAsia="zh-CN"/>
              </w:rPr>
              <w:t>综合评分法</w:t>
            </w:r>
          </w:p>
        </w:tc>
      </w:tr>
      <w:tr w14:paraId="75109C18">
        <w:tblPrEx>
          <w:tblCellMar>
            <w:top w:w="0" w:type="dxa"/>
            <w:left w:w="108" w:type="dxa"/>
            <w:bottom w:w="0" w:type="dxa"/>
            <w:right w:w="108" w:type="dxa"/>
          </w:tblCellMar>
        </w:tblPrEx>
        <w:trPr>
          <w:trHeight w:val="820"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77B6013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778" w:type="pct"/>
            <w:tcBorders>
              <w:top w:val="single" w:color="000000" w:sz="4" w:space="0"/>
              <w:left w:val="nil"/>
              <w:bottom w:val="single" w:color="000000" w:sz="4" w:space="0"/>
              <w:right w:val="single" w:color="000000" w:sz="4" w:space="0"/>
            </w:tcBorders>
            <w:vAlign w:val="center"/>
          </w:tcPr>
          <w:p w14:paraId="659FC52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08AE337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3615" w:type="pct"/>
            <w:tcBorders>
              <w:top w:val="single" w:color="000000" w:sz="4" w:space="0"/>
              <w:left w:val="nil"/>
              <w:bottom w:val="single" w:color="000000" w:sz="4" w:space="0"/>
              <w:right w:val="single" w:color="000000" w:sz="4" w:space="0"/>
            </w:tcBorders>
            <w:vAlign w:val="center"/>
          </w:tcPr>
          <w:p w14:paraId="5C4B9CC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最高投标限价为 </w:t>
            </w:r>
            <w:r>
              <w:rPr>
                <w:rFonts w:hint="eastAsia" w:ascii="仿宋" w:hAnsi="仿宋" w:eastAsia="仿宋" w:cs="仿宋"/>
                <w:color w:val="auto"/>
                <w:kern w:val="0"/>
                <w:sz w:val="24"/>
                <w:szCs w:val="24"/>
                <w:highlight w:val="none"/>
                <w:u w:val="single"/>
                <w:lang w:val="en-US" w:eastAsia="zh-CN"/>
              </w:rPr>
              <w:t>580000</w:t>
            </w:r>
            <w:r>
              <w:rPr>
                <w:rFonts w:hint="eastAsia" w:ascii="仿宋" w:hAnsi="仿宋" w:eastAsia="仿宋" w:cs="仿宋"/>
                <w:color w:val="auto"/>
                <w:kern w:val="0"/>
                <w:sz w:val="24"/>
                <w:szCs w:val="24"/>
                <w:highlight w:val="none"/>
                <w:lang w:val="en-US" w:eastAsia="zh-CN"/>
              </w:rPr>
              <w:t xml:space="preserve">元。       </w:t>
            </w:r>
          </w:p>
        </w:tc>
      </w:tr>
      <w:tr w14:paraId="3D9F0E51">
        <w:tblPrEx>
          <w:tblCellMar>
            <w:top w:w="0" w:type="dxa"/>
            <w:left w:w="108" w:type="dxa"/>
            <w:bottom w:w="0" w:type="dxa"/>
            <w:right w:w="108" w:type="dxa"/>
          </w:tblCellMar>
        </w:tblPrEx>
        <w:trPr>
          <w:trHeight w:val="764" w:hRule="atLeast"/>
        </w:trPr>
        <w:tc>
          <w:tcPr>
            <w:tcW w:w="606" w:type="pct"/>
            <w:tcBorders>
              <w:top w:val="single" w:color="000000" w:sz="4" w:space="0"/>
              <w:left w:val="single" w:color="000000" w:sz="4" w:space="0"/>
              <w:bottom w:val="single" w:color="000000" w:sz="4" w:space="0"/>
              <w:right w:val="single" w:color="000000" w:sz="4" w:space="0"/>
            </w:tcBorders>
            <w:vAlign w:val="center"/>
          </w:tcPr>
          <w:p w14:paraId="74F937C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778" w:type="pct"/>
            <w:tcBorders>
              <w:top w:val="single" w:color="000000" w:sz="4" w:space="0"/>
              <w:left w:val="nil"/>
              <w:bottom w:val="single" w:color="000000" w:sz="4" w:space="0"/>
              <w:right w:val="single" w:color="000000" w:sz="4" w:space="0"/>
            </w:tcBorders>
            <w:vAlign w:val="center"/>
          </w:tcPr>
          <w:p w14:paraId="39132055">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364156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3615" w:type="pct"/>
            <w:tcBorders>
              <w:top w:val="single" w:color="000000" w:sz="4" w:space="0"/>
              <w:left w:val="nil"/>
              <w:bottom w:val="single" w:color="000000" w:sz="4" w:space="0"/>
              <w:right w:val="single" w:color="000000" w:sz="4" w:space="0"/>
            </w:tcBorders>
            <w:vAlign w:val="center"/>
          </w:tcPr>
          <w:p w14:paraId="471F9B6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02D2E8C8">
        <w:tblPrEx>
          <w:tblCellMar>
            <w:top w:w="0" w:type="dxa"/>
            <w:left w:w="108" w:type="dxa"/>
            <w:bottom w:w="0" w:type="dxa"/>
            <w:right w:w="108" w:type="dxa"/>
          </w:tblCellMar>
        </w:tblPrEx>
        <w:trPr>
          <w:trHeight w:val="1257" w:hRule="atLeast"/>
        </w:trPr>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F877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w:t>
            </w:r>
          </w:p>
        </w:tc>
        <w:tc>
          <w:tcPr>
            <w:tcW w:w="778" w:type="pct"/>
            <w:tcBorders>
              <w:top w:val="single" w:color="000000" w:sz="4" w:space="0"/>
              <w:left w:val="nil"/>
              <w:bottom w:val="single" w:color="000000" w:sz="4" w:space="0"/>
              <w:right w:val="single" w:color="000000" w:sz="4" w:space="0"/>
            </w:tcBorders>
            <w:shd w:val="clear" w:color="auto" w:fill="auto"/>
            <w:vAlign w:val="center"/>
          </w:tcPr>
          <w:p w14:paraId="33162D0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3615" w:type="pct"/>
            <w:tcBorders>
              <w:top w:val="single" w:color="000000" w:sz="4" w:space="0"/>
              <w:left w:val="nil"/>
              <w:bottom w:val="single" w:color="000000" w:sz="4" w:space="0"/>
              <w:right w:val="single" w:color="000000" w:sz="4" w:space="0"/>
            </w:tcBorders>
            <w:shd w:val="clear" w:color="auto" w:fill="auto"/>
            <w:vAlign w:val="center"/>
          </w:tcPr>
          <w:p w14:paraId="5710AF4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p>
        </w:tc>
      </w:tr>
      <w:tr w14:paraId="25F782E7">
        <w:tblPrEx>
          <w:tblCellMar>
            <w:top w:w="0" w:type="dxa"/>
            <w:left w:w="108" w:type="dxa"/>
            <w:bottom w:w="0" w:type="dxa"/>
            <w:right w:w="108" w:type="dxa"/>
          </w:tblCellMar>
        </w:tblPrEx>
        <w:trPr>
          <w:trHeight w:val="1257" w:hRule="atLeast"/>
        </w:trPr>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46A5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778" w:type="pct"/>
            <w:tcBorders>
              <w:top w:val="single" w:color="000000" w:sz="4" w:space="0"/>
              <w:left w:val="nil"/>
              <w:bottom w:val="single" w:color="000000" w:sz="4" w:space="0"/>
              <w:right w:val="single" w:color="000000" w:sz="4" w:space="0"/>
            </w:tcBorders>
            <w:shd w:val="clear" w:color="auto" w:fill="auto"/>
            <w:vAlign w:val="center"/>
          </w:tcPr>
          <w:p w14:paraId="3ED54A5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3615" w:type="pct"/>
            <w:tcBorders>
              <w:top w:val="single" w:color="000000" w:sz="4" w:space="0"/>
              <w:left w:val="nil"/>
              <w:bottom w:val="single" w:color="000000" w:sz="4" w:space="0"/>
              <w:right w:val="single" w:color="000000" w:sz="4" w:space="0"/>
            </w:tcBorders>
            <w:shd w:val="clear" w:color="auto" w:fill="auto"/>
            <w:vAlign w:val="center"/>
          </w:tcPr>
          <w:p w14:paraId="13B71735">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中标后按中标金额8%开具履约保函</w:t>
            </w:r>
          </w:p>
        </w:tc>
      </w:tr>
      <w:tr w14:paraId="439AFBD6">
        <w:tblPrEx>
          <w:tblCellMar>
            <w:top w:w="0" w:type="dxa"/>
            <w:left w:w="108" w:type="dxa"/>
            <w:bottom w:w="0" w:type="dxa"/>
            <w:right w:w="108" w:type="dxa"/>
          </w:tblCellMar>
        </w:tblPrEx>
        <w:trPr>
          <w:trHeight w:val="1257" w:hRule="atLeast"/>
        </w:trPr>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F915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778" w:type="pct"/>
            <w:tcBorders>
              <w:top w:val="single" w:color="000000" w:sz="4" w:space="0"/>
              <w:left w:val="nil"/>
              <w:bottom w:val="single" w:color="000000" w:sz="4" w:space="0"/>
              <w:right w:val="single" w:color="000000" w:sz="4" w:space="0"/>
            </w:tcBorders>
            <w:shd w:val="clear" w:color="auto" w:fill="auto"/>
            <w:vAlign w:val="center"/>
          </w:tcPr>
          <w:p w14:paraId="22EEE34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偏离</w:t>
            </w:r>
          </w:p>
        </w:tc>
        <w:tc>
          <w:tcPr>
            <w:tcW w:w="3615" w:type="pct"/>
            <w:tcBorders>
              <w:top w:val="single" w:color="000000" w:sz="4" w:space="0"/>
              <w:left w:val="nil"/>
              <w:bottom w:val="single" w:color="000000" w:sz="4" w:space="0"/>
              <w:right w:val="single" w:color="000000" w:sz="4" w:space="0"/>
            </w:tcBorders>
            <w:shd w:val="clear" w:color="auto" w:fill="auto"/>
            <w:vAlign w:val="center"/>
          </w:tcPr>
          <w:p w14:paraId="292FC638">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本项目不允许偏离，比选人要求需全部响应</w:t>
            </w:r>
          </w:p>
        </w:tc>
      </w:tr>
    </w:tbl>
    <w:p w14:paraId="24C9CCC0">
      <w:pPr>
        <w:widowControl/>
        <w:numPr>
          <w:ilvl w:val="0"/>
          <w:numId w:val="0"/>
        </w:numPr>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一、</w:t>
      </w:r>
      <w:r>
        <w:rPr>
          <w:rFonts w:hint="eastAsia" w:ascii="黑体" w:hAnsi="黑体" w:eastAsia="黑体" w:cs="黑体"/>
          <w:b/>
          <w:spacing w:val="15"/>
          <w:kern w:val="0"/>
          <w:sz w:val="32"/>
          <w:szCs w:val="32"/>
        </w:rPr>
        <w:t>比选保密，违者应对由此造成的后果承担法律责任。</w:t>
      </w:r>
    </w:p>
    <w:p w14:paraId="168E9B6A">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1A8EEC5">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6D20B533">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1.参选人应仔细阅读比选文件中的所有内容，按照比选文件及要求，详细编制参选文件，并保证参选文件的正确性和真实性。</w:t>
      </w:r>
    </w:p>
    <w:p w14:paraId="710F54C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2.参选人获取比选文件后，应仔细检查比选文件中的所有内容，如有残缺等问题，应及时向比选人提出，否则，由此引起的费用由参选人自行承担。</w:t>
      </w:r>
    </w:p>
    <w:p w14:paraId="7C1BCB8B">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3.不按比选文件要求提供的参选文件将被拒绝。</w:t>
      </w:r>
    </w:p>
    <w:p w14:paraId="59DEFA1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29C29BF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78DF32E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投标保证金</w:t>
      </w:r>
    </w:p>
    <w:p w14:paraId="6C2F557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1.参选人须知前附表规定交纳投标保证金的，应按参选人须知前附表规定的投标保证金形式交纳。投标保证金有效期应当与参选人须知前附表第13款规定的比选有效期一致。</w:t>
      </w:r>
    </w:p>
    <w:p w14:paraId="3691CC5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2.参选人未按照比选文件要求提交投标保证金的，参选无效。</w:t>
      </w:r>
    </w:p>
    <w:p w14:paraId="209678F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3.有下列情形之一的，投标保证金不予退还，比选人有权向出具保函的银行或担保公司提出索赔：</w:t>
      </w:r>
    </w:p>
    <w:p w14:paraId="3EF8A26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（1）参选人在提交参选文件截止时间后撤回参选文件的；</w:t>
      </w:r>
    </w:p>
    <w:p w14:paraId="15C809E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（2）参选人在参选文件中提供虚假资料的；</w:t>
      </w:r>
    </w:p>
    <w:p w14:paraId="2D6F664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（3）确定中选结果后，无正当理由放弃中选资格的；</w:t>
      </w:r>
    </w:p>
    <w:p w14:paraId="319B0525">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（4）除因不可抗力或比选文件认可的情形以外，中选参选人不与比选人签订合同的；</w:t>
      </w:r>
    </w:p>
    <w:p w14:paraId="462732ED">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（5）参选人与比选人或其他参选人恶意串通的；</w:t>
      </w:r>
    </w:p>
    <w:p w14:paraId="255EAED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lang w:val="en-US" w:eastAsia="zh-CN" w:bidi="ar-SA"/>
        </w:rPr>
        <w:t>（6）比选文件规定的其他情形。</w:t>
      </w:r>
    </w:p>
    <w:p w14:paraId="18C2244D">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5A0D7115">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01BE94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2727ADFF">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6B168CD6">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5BC883F">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6CAFF9CC">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F283DA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r>
        <w:rPr>
          <w:rFonts w:hint="eastAsia" w:ascii="Calibri" w:hAnsi="Calibri" w:eastAsia="仿宋" w:cs="Times New Roman"/>
          <w:bCs/>
          <w:kern w:val="44"/>
          <w:sz w:val="44"/>
          <w:szCs w:val="44"/>
          <w:lang w:val="en-US" w:eastAsia="zh-CN" w:bidi="ar-SA"/>
        </w:rPr>
        <w:t>第三章 参选文件要求</w:t>
      </w:r>
    </w:p>
    <w:p w14:paraId="6DCAB6B0">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E3A83D">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3B4BE86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6CFF45C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5C53F25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61FEA35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6C373FE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62C8433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06E3132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7F2A326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14:paraId="6144709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（3）业绩：参选单位独立完成的完整版合同复印件，并加盖参选单位公章。</w:t>
      </w:r>
    </w:p>
    <w:p w14:paraId="1A4801C5">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spacing w:val="0"/>
          <w:position w:val="0"/>
          <w:sz w:val="28"/>
          <w:szCs w:val="28"/>
          <w:u w:val="none"/>
          <w:lang w:val="en-US" w:eastAsia="zh-CN"/>
        </w:rPr>
        <w:t>国家注册安全工程师证书</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60AA2AC1">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7B38911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（6）“信用中国”网站查询后下载信用信息报告自动生成的PDF文件，并加盖参选单位公章。</w:t>
      </w:r>
    </w:p>
    <w:p w14:paraId="6902B59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（7）企查查首页股东信息、主要人员截图并加盖参选单位公章。</w:t>
      </w:r>
    </w:p>
    <w:p w14:paraId="675AD7D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（8）其他资格要求证明文件（如有，格式自拟）</w:t>
      </w:r>
    </w:p>
    <w:p w14:paraId="37C5E63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7.报价一览表（按附件6的格式报价）</w:t>
      </w:r>
    </w:p>
    <w:p w14:paraId="711BDF7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8.商务和技术偏差表（按附件7格式）</w:t>
      </w:r>
    </w:p>
    <w:p w14:paraId="3FBBBD4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9.其他（如有，格式自拟）</w:t>
      </w:r>
    </w:p>
    <w:p w14:paraId="03DE1B20">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2B28B1A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58D35B45">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37D6E7A0">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0DF9EA5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10242B6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0BDBA17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36A784F2">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23DFC393">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52EB799">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07A54A7C">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0F15D0E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20FFC28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9BC4CC7">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lang w:val="en-US" w:eastAsia="zh-CN"/>
        </w:rPr>
        <w:t xml:space="preserve"> 衡阳国投第三方安全服务机构 </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0CD64EA0">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7E0C4B3">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安全  </w:t>
      </w:r>
      <w:r>
        <w:rPr>
          <w:rFonts w:hint="eastAsia" w:ascii="仿宋" w:hAnsi="仿宋" w:eastAsia="仿宋"/>
          <w:color w:val="auto"/>
          <w:kern w:val="0"/>
          <w:sz w:val="28"/>
          <w:szCs w:val="28"/>
          <w:highlight w:val="none"/>
        </w:rPr>
        <w:t>服务任务。</w:t>
      </w:r>
    </w:p>
    <w:p w14:paraId="4B1B545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安全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1103152E">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32691456">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39C9A57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14F6112A">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1734E61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73274400">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775AA714">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A66F2DF">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1CC9A4F9">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31174D19">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000320CC">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0368109B">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4F618C2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5911CF04">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1141F15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安全  </w:t>
      </w:r>
      <w:r>
        <w:rPr>
          <w:rFonts w:hint="eastAsia" w:ascii="仿宋" w:hAnsi="仿宋" w:eastAsia="仿宋"/>
          <w:color w:val="auto"/>
          <w:kern w:val="0"/>
          <w:sz w:val="28"/>
          <w:szCs w:val="28"/>
          <w:highlight w:val="none"/>
        </w:rPr>
        <w:t>服务业务。</w:t>
      </w:r>
    </w:p>
    <w:p w14:paraId="40F6C26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6C147A9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57DA9F03">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BBB411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6FF816B7">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765CD9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57419CE">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29D5630D">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32E8DC68">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032E2E5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92A2D6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67DD9A8C">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791AD33A">
      <w:pPr>
        <w:pStyle w:val="17"/>
        <w:rPr>
          <w:color w:val="auto"/>
          <w:highlight w:val="none"/>
        </w:rPr>
      </w:pPr>
    </w:p>
    <w:p w14:paraId="5AF8151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3F2C9428">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98697B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1FCE8D2C">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B4B31B7">
      <w:pPr>
        <w:pStyle w:val="8"/>
        <w:ind w:left="0" w:leftChars="0" w:firstLine="0" w:firstLineChars="0"/>
        <w:rPr>
          <w:color w:val="auto"/>
          <w:highlight w:val="none"/>
        </w:rPr>
      </w:pPr>
    </w:p>
    <w:p w14:paraId="2FA83118">
      <w:pPr>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br w:type="page"/>
      </w:r>
    </w:p>
    <w:p w14:paraId="1F6C4D8E">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740FDEFF">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1477BFFF">
      <w:pPr>
        <w:adjustRightInd w:val="0"/>
        <w:snapToGrid w:val="0"/>
        <w:spacing w:line="360" w:lineRule="auto"/>
        <w:rPr>
          <w:rFonts w:hint="eastAsia" w:ascii="仿宋_GB2312" w:hAnsi="华文仿宋" w:eastAsia="仿宋_GB2312"/>
          <w:color w:val="auto"/>
          <w:sz w:val="28"/>
          <w:szCs w:val="28"/>
          <w:highlight w:val="none"/>
        </w:rPr>
      </w:pPr>
    </w:p>
    <w:p w14:paraId="6771AB09">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08234454">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2855ED86">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D017CA1">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121B241F">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60BE81A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6C74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9523C56">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44E10687">
      <w:pPr>
        <w:adjustRightInd w:val="0"/>
        <w:snapToGrid w:val="0"/>
        <w:spacing w:line="360" w:lineRule="auto"/>
        <w:rPr>
          <w:rFonts w:hint="eastAsia" w:ascii="仿宋" w:hAnsi="仿宋" w:eastAsia="仿宋" w:cs="仿宋"/>
          <w:color w:val="auto"/>
          <w:sz w:val="28"/>
          <w:szCs w:val="28"/>
          <w:highlight w:val="none"/>
        </w:rPr>
      </w:pPr>
    </w:p>
    <w:p w14:paraId="08EFA430">
      <w:pPr>
        <w:adjustRightInd w:val="0"/>
        <w:snapToGrid w:val="0"/>
        <w:spacing w:line="360" w:lineRule="auto"/>
        <w:rPr>
          <w:rFonts w:hint="eastAsia" w:ascii="仿宋" w:hAnsi="仿宋" w:eastAsia="仿宋" w:cs="仿宋"/>
          <w:color w:val="auto"/>
          <w:sz w:val="28"/>
          <w:szCs w:val="28"/>
          <w:highlight w:val="none"/>
        </w:rPr>
      </w:pPr>
    </w:p>
    <w:p w14:paraId="3997E7AB">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4C12BCFB">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3A07C9F4">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23B7CCF9">
      <w:pPr>
        <w:widowControl/>
        <w:topLinePunct/>
        <w:spacing w:line="620" w:lineRule="exact"/>
        <w:rPr>
          <w:rFonts w:hint="eastAsia" w:ascii="仿宋" w:hAnsi="仿宋" w:eastAsia="仿宋" w:cs="仿宋"/>
          <w:color w:val="auto"/>
          <w:kern w:val="0"/>
          <w:sz w:val="28"/>
          <w:szCs w:val="28"/>
          <w:highlight w:val="none"/>
          <w:lang w:val="en-US" w:eastAsia="zh-CN"/>
        </w:rPr>
      </w:pPr>
    </w:p>
    <w:p w14:paraId="3D28E08F">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BCC064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7926BB4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08D1DBEE">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7D28240E">
      <w:pPr>
        <w:rPr>
          <w:rFonts w:hint="eastAsia"/>
          <w:color w:val="auto"/>
          <w:highlight w:val="none"/>
        </w:rPr>
      </w:pPr>
    </w:p>
    <w:p w14:paraId="2F89FBA3">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70400D07">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58645C99">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54F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7155F62B">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BEBB232">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25B08E19">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63301B0B">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2F785C3F">
      <w:pPr>
        <w:pStyle w:val="2"/>
        <w:rPr>
          <w:rFonts w:hint="eastAsia" w:ascii="仿宋" w:hAnsi="仿宋" w:eastAsia="仿宋" w:cs="仿宋"/>
          <w:color w:val="auto"/>
          <w:sz w:val="28"/>
          <w:szCs w:val="28"/>
          <w:highlight w:val="none"/>
        </w:rPr>
      </w:pPr>
    </w:p>
    <w:p w14:paraId="1F386797">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0F700A6">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058166E1">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72150EE5">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3FADE71A">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4EC455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2182E9F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2C12EA8">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4FA3910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584201D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D37E32A">
            <w:pPr>
              <w:topLinePunct/>
              <w:spacing w:line="440" w:lineRule="exact"/>
              <w:jc w:val="center"/>
              <w:rPr>
                <w:rFonts w:hint="eastAsia" w:ascii="仿宋" w:hAnsi="仿宋" w:eastAsia="仿宋" w:cs="仿宋"/>
                <w:color w:val="auto"/>
                <w:sz w:val="24"/>
                <w:szCs w:val="24"/>
                <w:highlight w:val="none"/>
              </w:rPr>
            </w:pPr>
          </w:p>
        </w:tc>
      </w:tr>
      <w:tr w14:paraId="3D5C89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71CAD9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2BF73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1CDE966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46D64524">
            <w:pPr>
              <w:topLinePunct/>
              <w:spacing w:line="440" w:lineRule="exact"/>
              <w:jc w:val="center"/>
              <w:rPr>
                <w:rFonts w:hint="eastAsia" w:ascii="仿宋" w:hAnsi="仿宋" w:eastAsia="仿宋" w:cs="仿宋"/>
                <w:color w:val="auto"/>
                <w:sz w:val="24"/>
                <w:szCs w:val="24"/>
                <w:highlight w:val="none"/>
              </w:rPr>
            </w:pPr>
          </w:p>
        </w:tc>
      </w:tr>
      <w:tr w14:paraId="00C9F7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AC162A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199C2B8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320ACC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1DBC746D">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3B3F8919">
            <w:pPr>
              <w:topLinePunct/>
              <w:spacing w:line="440" w:lineRule="exact"/>
              <w:jc w:val="center"/>
              <w:rPr>
                <w:rFonts w:hint="eastAsia" w:ascii="仿宋" w:hAnsi="仿宋" w:eastAsia="仿宋" w:cs="仿宋"/>
                <w:color w:val="auto"/>
                <w:sz w:val="24"/>
                <w:szCs w:val="24"/>
                <w:highlight w:val="none"/>
              </w:rPr>
            </w:pPr>
          </w:p>
        </w:tc>
      </w:tr>
      <w:tr w14:paraId="108FF0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C37266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677492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A9B548E">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CB2DAA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1F17E53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04D5E10">
            <w:pPr>
              <w:topLinePunct/>
              <w:spacing w:line="440" w:lineRule="exact"/>
              <w:jc w:val="center"/>
              <w:rPr>
                <w:rFonts w:hint="eastAsia" w:ascii="仿宋" w:hAnsi="仿宋" w:eastAsia="仿宋" w:cs="仿宋"/>
                <w:color w:val="auto"/>
                <w:sz w:val="24"/>
                <w:szCs w:val="24"/>
                <w:highlight w:val="none"/>
              </w:rPr>
            </w:pPr>
          </w:p>
        </w:tc>
      </w:tr>
      <w:tr w14:paraId="6D6F2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4F15CA5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95D817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2CFC5E1">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594A7526">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60E15BF">
            <w:pPr>
              <w:topLinePunct/>
              <w:spacing w:line="440" w:lineRule="exact"/>
              <w:ind w:firstLine="120" w:firstLineChars="50"/>
              <w:jc w:val="center"/>
              <w:rPr>
                <w:rFonts w:hint="eastAsia" w:ascii="仿宋" w:hAnsi="仿宋" w:eastAsia="仿宋" w:cs="仿宋"/>
                <w:color w:val="auto"/>
                <w:sz w:val="24"/>
                <w:szCs w:val="24"/>
                <w:highlight w:val="none"/>
              </w:rPr>
            </w:pPr>
          </w:p>
        </w:tc>
      </w:tr>
      <w:tr w14:paraId="259E1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E08D56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6631FE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44D97C6">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F96235A">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E6D8FD5">
            <w:pPr>
              <w:topLinePunct/>
              <w:spacing w:line="440" w:lineRule="exact"/>
              <w:ind w:firstLine="120" w:firstLineChars="50"/>
              <w:jc w:val="center"/>
              <w:rPr>
                <w:rFonts w:hint="eastAsia" w:ascii="仿宋" w:hAnsi="仿宋" w:eastAsia="仿宋" w:cs="仿宋"/>
                <w:color w:val="auto"/>
                <w:sz w:val="24"/>
                <w:szCs w:val="24"/>
                <w:highlight w:val="none"/>
              </w:rPr>
            </w:pPr>
          </w:p>
        </w:tc>
      </w:tr>
      <w:tr w14:paraId="58A9C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BABC22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73C63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C3B319E">
            <w:pPr>
              <w:topLinePunct/>
              <w:spacing w:line="440" w:lineRule="exact"/>
              <w:ind w:firstLine="120" w:firstLineChars="50"/>
              <w:jc w:val="center"/>
              <w:rPr>
                <w:rFonts w:hint="eastAsia" w:ascii="仿宋" w:hAnsi="仿宋" w:eastAsia="仿宋" w:cs="仿宋"/>
                <w:color w:val="auto"/>
                <w:sz w:val="24"/>
                <w:szCs w:val="24"/>
                <w:highlight w:val="none"/>
              </w:rPr>
            </w:pPr>
          </w:p>
        </w:tc>
      </w:tr>
      <w:tr w14:paraId="46DD5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84756FD">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53F42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C8039DB">
            <w:pPr>
              <w:topLinePunct/>
              <w:spacing w:line="440" w:lineRule="exact"/>
              <w:ind w:firstLine="120" w:firstLineChars="50"/>
              <w:jc w:val="center"/>
              <w:rPr>
                <w:rFonts w:hint="eastAsia" w:ascii="仿宋" w:hAnsi="仿宋" w:eastAsia="仿宋" w:cs="仿宋"/>
                <w:color w:val="auto"/>
                <w:sz w:val="24"/>
                <w:szCs w:val="24"/>
                <w:highlight w:val="none"/>
              </w:rPr>
            </w:pPr>
          </w:p>
        </w:tc>
      </w:tr>
      <w:tr w14:paraId="18AA69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4D0352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9DBC317">
            <w:pPr>
              <w:topLinePunct/>
              <w:spacing w:line="440" w:lineRule="exact"/>
              <w:jc w:val="center"/>
              <w:rPr>
                <w:rFonts w:hint="eastAsia" w:ascii="仿宋" w:hAnsi="仿宋" w:eastAsia="仿宋" w:cs="仿宋"/>
                <w:color w:val="auto"/>
                <w:sz w:val="24"/>
                <w:szCs w:val="24"/>
                <w:highlight w:val="none"/>
              </w:rPr>
            </w:pPr>
          </w:p>
        </w:tc>
      </w:tr>
      <w:tr w14:paraId="539BA3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205A52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8841F76">
            <w:pPr>
              <w:topLinePunct/>
              <w:spacing w:line="440" w:lineRule="exact"/>
              <w:jc w:val="center"/>
              <w:rPr>
                <w:rFonts w:hint="eastAsia" w:ascii="仿宋" w:hAnsi="仿宋" w:eastAsia="仿宋" w:cs="仿宋"/>
                <w:color w:val="auto"/>
                <w:sz w:val="24"/>
                <w:szCs w:val="24"/>
                <w:highlight w:val="none"/>
              </w:rPr>
            </w:pPr>
          </w:p>
        </w:tc>
      </w:tr>
      <w:tr w14:paraId="7A32DF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D9B607E">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B17E52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CB3146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299FD71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9D88F3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587193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309EA4F">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B84DF59">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7BB362B">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0EF5937">
            <w:pPr>
              <w:topLinePunct/>
              <w:spacing w:line="440" w:lineRule="exact"/>
              <w:jc w:val="center"/>
              <w:rPr>
                <w:rFonts w:hint="eastAsia" w:ascii="仿宋" w:hAnsi="仿宋" w:eastAsia="仿宋" w:cs="仿宋"/>
                <w:color w:val="auto"/>
                <w:sz w:val="24"/>
                <w:szCs w:val="24"/>
                <w:highlight w:val="none"/>
              </w:rPr>
            </w:pPr>
          </w:p>
        </w:tc>
      </w:tr>
      <w:tr w14:paraId="68BC1E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1CCDC7E">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37443D5">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F58E3F8">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2092541">
            <w:pPr>
              <w:topLinePunct/>
              <w:spacing w:line="440" w:lineRule="exact"/>
              <w:jc w:val="center"/>
              <w:rPr>
                <w:rFonts w:hint="eastAsia" w:ascii="仿宋" w:hAnsi="仿宋" w:eastAsia="仿宋" w:cs="仿宋"/>
                <w:color w:val="auto"/>
                <w:sz w:val="24"/>
                <w:szCs w:val="24"/>
                <w:highlight w:val="none"/>
              </w:rPr>
            </w:pPr>
          </w:p>
        </w:tc>
      </w:tr>
      <w:tr w14:paraId="2A805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CFA153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4412C48">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405D7B61">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A26A43">
            <w:pPr>
              <w:topLinePunct/>
              <w:spacing w:line="440" w:lineRule="exact"/>
              <w:jc w:val="center"/>
              <w:rPr>
                <w:rFonts w:hint="eastAsia" w:ascii="仿宋" w:hAnsi="仿宋" w:eastAsia="仿宋" w:cs="仿宋"/>
                <w:color w:val="auto"/>
                <w:sz w:val="24"/>
                <w:szCs w:val="24"/>
                <w:highlight w:val="none"/>
              </w:rPr>
            </w:pPr>
          </w:p>
        </w:tc>
      </w:tr>
      <w:tr w14:paraId="204F60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1D70C15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2AA0687">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0108B49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962B221">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C4FBA9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08E391A">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E76D93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469DC5D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12763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0E3B7B79">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538B8F20">
            <w:pPr>
              <w:spacing w:line="420" w:lineRule="exact"/>
              <w:jc w:val="both"/>
              <w:rPr>
                <w:rFonts w:hint="eastAsia" w:ascii="仿宋" w:hAnsi="仿宋" w:eastAsia="仿宋" w:cs="仿宋"/>
                <w:color w:val="auto"/>
                <w:sz w:val="28"/>
                <w:szCs w:val="28"/>
                <w:highlight w:val="none"/>
              </w:rPr>
            </w:pPr>
          </w:p>
        </w:tc>
      </w:tr>
      <w:tr w14:paraId="0B71E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5B908FA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DB64A2B">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064BD1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E2582">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78E10BA1">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0C4D640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20A5C75A">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64F76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808BEF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1A48916">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74DAF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C84EC7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B4BB23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577A5E0">
            <w:pPr>
              <w:spacing w:line="420" w:lineRule="exact"/>
              <w:ind w:firstLine="280" w:firstLineChars="100"/>
              <w:rPr>
                <w:rFonts w:hint="eastAsia" w:ascii="仿宋" w:hAnsi="仿宋" w:eastAsia="仿宋" w:cs="仿宋"/>
                <w:color w:val="auto"/>
                <w:sz w:val="28"/>
                <w:szCs w:val="28"/>
                <w:highlight w:val="none"/>
              </w:rPr>
            </w:pPr>
          </w:p>
        </w:tc>
      </w:tr>
      <w:tr w14:paraId="4B94FB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05E19C4B">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0709D64">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580000   </w:t>
            </w:r>
            <w:r>
              <w:rPr>
                <w:rFonts w:hint="eastAsia" w:ascii="仿宋" w:hAnsi="仿宋" w:eastAsia="仿宋" w:cs="仿宋"/>
                <w:color w:val="auto"/>
                <w:sz w:val="24"/>
                <w:szCs w:val="24"/>
                <w:highlight w:val="none"/>
                <w:lang w:val="en-US" w:eastAsia="zh-CN"/>
              </w:rPr>
              <w:t>元，投标报价不得高于最高投标限价。</w:t>
            </w:r>
          </w:p>
        </w:tc>
      </w:tr>
    </w:tbl>
    <w:p w14:paraId="04B228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2F0C372A">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043A407E">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32551A03">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39232AF">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2FCEAB3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92A6822">
      <w:pPr>
        <w:keepNext w:val="0"/>
        <w:keepLines w:val="0"/>
        <w:pageBreakBefore w:val="0"/>
        <w:kinsoku/>
        <w:wordWrap/>
        <w:overflowPunct/>
        <w:topLinePunct w:val="0"/>
        <w:autoSpaceDE/>
        <w:autoSpaceDN/>
        <w:bidi w:val="0"/>
        <w:spacing w:line="480" w:lineRule="exact"/>
        <w:ind w:firstLine="4760" w:firstLineChars="1700"/>
        <w:rPr>
          <w:rFonts w:hint="eastAsia" w:ascii="仿宋" w:hAnsi="仿宋" w:eastAsia="仿宋"/>
          <w:color w:val="auto"/>
          <w:kern w:val="0"/>
          <w:sz w:val="28"/>
          <w:szCs w:val="28"/>
          <w:highlight w:val="none"/>
        </w:rPr>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olor w:val="auto"/>
          <w:kern w:val="0"/>
          <w:sz w:val="28"/>
          <w:szCs w:val="28"/>
          <w:highlight w:val="none"/>
        </w:rPr>
        <w:t>日期：   年   月   日</w:t>
      </w:r>
    </w:p>
    <w:p w14:paraId="7D60C5CA">
      <w:pPr>
        <w:widowControl/>
        <w:spacing w:line="480" w:lineRule="exact"/>
        <w:ind w:firstLine="562"/>
        <w:rPr>
          <w:rFonts w:ascii="宋体" w:hAnsi="宋体" w:cs="宋体"/>
          <w:b/>
          <w:bCs/>
          <w:kern w:val="0"/>
          <w:sz w:val="28"/>
          <w:szCs w:val="28"/>
        </w:rPr>
      </w:pPr>
      <w:r>
        <w:rPr>
          <w:rFonts w:hint="eastAsia" w:ascii="宋体" w:hAnsi="宋体" w:cs="宋体"/>
          <w:b/>
          <w:bCs/>
          <w:kern w:val="0"/>
          <w:sz w:val="28"/>
          <w:szCs w:val="28"/>
        </w:rPr>
        <w:t>附件</w:t>
      </w:r>
      <w:r>
        <w:rPr>
          <w:rFonts w:ascii="宋体" w:hAnsi="宋体" w:cs="宋体"/>
          <w:b/>
          <w:bCs/>
          <w:kern w:val="0"/>
          <w:sz w:val="28"/>
          <w:szCs w:val="28"/>
        </w:rPr>
        <w:t>7</w:t>
      </w:r>
    </w:p>
    <w:p w14:paraId="17BB20DB">
      <w:pPr>
        <w:widowControl/>
        <w:jc w:val="center"/>
        <w:outlineLvl w:val="1"/>
        <w:rPr>
          <w:rFonts w:ascii="仿宋_GB2312" w:eastAsia="仿宋_GB2312"/>
          <w:kern w:val="0"/>
          <w:sz w:val="24"/>
        </w:rPr>
      </w:pPr>
      <w:r>
        <w:rPr>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25B7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24CFD16">
            <w:pPr>
              <w:widowControl/>
              <w:snapToGrid w:val="0"/>
              <w:jc w:val="center"/>
              <w:rPr>
                <w:rFonts w:ascii="Calibri" w:hAnsi="Calibri" w:cs="Calibri"/>
                <w:b/>
                <w:kern w:val="0"/>
                <w:szCs w:val="21"/>
              </w:rPr>
            </w:pPr>
            <w:r>
              <w:rPr>
                <w:rFonts w:ascii="宋体" w:hAnsi="宋体"/>
                <w:b/>
                <w:kern w:val="0"/>
              </w:rPr>
              <w:t>序号</w:t>
            </w:r>
          </w:p>
        </w:tc>
        <w:tc>
          <w:tcPr>
            <w:tcW w:w="2694" w:type="dxa"/>
            <w:tcBorders>
              <w:top w:val="single" w:color="auto" w:sz="4" w:space="0"/>
              <w:left w:val="single" w:color="auto" w:sz="4" w:space="0"/>
              <w:bottom w:val="single" w:color="auto" w:sz="4" w:space="0"/>
              <w:right w:val="single" w:color="auto" w:sz="4" w:space="0"/>
            </w:tcBorders>
            <w:vAlign w:val="center"/>
          </w:tcPr>
          <w:p w14:paraId="17896094">
            <w:pPr>
              <w:widowControl/>
              <w:snapToGrid w:val="0"/>
              <w:jc w:val="center"/>
              <w:rPr>
                <w:rFonts w:ascii="Calibri" w:hAnsi="Calibri" w:cs="Calibri"/>
                <w:b/>
                <w:kern w:val="0"/>
                <w:szCs w:val="21"/>
              </w:rPr>
            </w:pPr>
            <w:r>
              <w:rPr>
                <w:rFonts w:ascii="宋体" w:hAnsi="宋体"/>
                <w:b/>
                <w:kern w:val="0"/>
              </w:rPr>
              <w:t>招标文件章节及条款号</w:t>
            </w:r>
          </w:p>
        </w:tc>
        <w:tc>
          <w:tcPr>
            <w:tcW w:w="3469" w:type="dxa"/>
            <w:tcBorders>
              <w:top w:val="single" w:color="auto" w:sz="4" w:space="0"/>
              <w:left w:val="single" w:color="auto" w:sz="4" w:space="0"/>
              <w:bottom w:val="single" w:color="auto" w:sz="4" w:space="0"/>
              <w:right w:val="single" w:color="auto" w:sz="4" w:space="0"/>
            </w:tcBorders>
            <w:vAlign w:val="center"/>
          </w:tcPr>
          <w:p w14:paraId="630D89AE">
            <w:pPr>
              <w:widowControl/>
              <w:snapToGrid w:val="0"/>
              <w:jc w:val="center"/>
              <w:rPr>
                <w:rFonts w:ascii="Calibri" w:hAnsi="Calibri" w:cs="Calibri"/>
                <w:b/>
                <w:kern w:val="0"/>
                <w:szCs w:val="21"/>
              </w:rPr>
            </w:pPr>
            <w:r>
              <w:rPr>
                <w:rFonts w:ascii="宋体" w:hAnsi="宋体"/>
                <w:b/>
                <w:kern w:val="0"/>
              </w:rPr>
              <w:t>投标文件章节及条款号</w:t>
            </w:r>
          </w:p>
        </w:tc>
        <w:tc>
          <w:tcPr>
            <w:tcW w:w="1624" w:type="dxa"/>
            <w:tcBorders>
              <w:top w:val="single" w:color="auto" w:sz="4" w:space="0"/>
              <w:left w:val="single" w:color="auto" w:sz="4" w:space="0"/>
              <w:bottom w:val="single" w:color="auto" w:sz="4" w:space="0"/>
              <w:right w:val="single" w:color="auto" w:sz="4" w:space="0"/>
            </w:tcBorders>
            <w:vAlign w:val="center"/>
          </w:tcPr>
          <w:p w14:paraId="458E3102">
            <w:pPr>
              <w:widowControl/>
              <w:snapToGrid w:val="0"/>
              <w:jc w:val="center"/>
              <w:rPr>
                <w:rFonts w:ascii="Calibri" w:hAnsi="Calibri" w:cs="Calibri"/>
                <w:b/>
                <w:kern w:val="0"/>
                <w:szCs w:val="21"/>
              </w:rPr>
            </w:pPr>
            <w:r>
              <w:rPr>
                <w:rFonts w:ascii="宋体" w:hAnsi="宋体"/>
                <w:b/>
                <w:kern w:val="0"/>
              </w:rPr>
              <w:t>偏差说明</w:t>
            </w:r>
          </w:p>
        </w:tc>
      </w:tr>
      <w:tr w14:paraId="351D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9235AC8">
            <w:pPr>
              <w:widowControl/>
              <w:snapToGrid w:val="0"/>
              <w:jc w:val="center"/>
              <w:rPr>
                <w:rFonts w:ascii="Calibri" w:hAnsi="Calibri" w:cs="Calibri"/>
                <w:kern w:val="0"/>
                <w:szCs w:val="21"/>
              </w:rPr>
            </w:pPr>
            <w:r>
              <w:rPr>
                <w:kern w:val="0"/>
              </w:rPr>
              <w:t>1</w:t>
            </w:r>
          </w:p>
        </w:tc>
        <w:tc>
          <w:tcPr>
            <w:tcW w:w="2694" w:type="dxa"/>
            <w:tcBorders>
              <w:top w:val="single" w:color="auto" w:sz="4" w:space="0"/>
              <w:left w:val="single" w:color="auto" w:sz="4" w:space="0"/>
              <w:bottom w:val="single" w:color="auto" w:sz="4" w:space="0"/>
              <w:right w:val="single" w:color="auto" w:sz="4" w:space="0"/>
            </w:tcBorders>
            <w:vAlign w:val="center"/>
          </w:tcPr>
          <w:p w14:paraId="24DBF459">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7BBBA44E">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449E1B5D">
            <w:pPr>
              <w:widowControl/>
              <w:snapToGrid w:val="0"/>
              <w:jc w:val="center"/>
              <w:rPr>
                <w:rFonts w:ascii="Calibri" w:hAnsi="Calibri" w:cs="Calibri"/>
                <w:kern w:val="0"/>
                <w:szCs w:val="21"/>
              </w:rPr>
            </w:pPr>
          </w:p>
        </w:tc>
      </w:tr>
      <w:tr w14:paraId="6C23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1A693E8">
            <w:pPr>
              <w:widowControl/>
              <w:snapToGrid w:val="0"/>
              <w:jc w:val="center"/>
              <w:rPr>
                <w:rFonts w:ascii="Calibri" w:hAnsi="Calibri" w:cs="Calibri"/>
                <w:kern w:val="0"/>
                <w:szCs w:val="21"/>
              </w:rPr>
            </w:pPr>
            <w:r>
              <w:rPr>
                <w:kern w:val="0"/>
              </w:rPr>
              <w:t>2</w:t>
            </w:r>
          </w:p>
        </w:tc>
        <w:tc>
          <w:tcPr>
            <w:tcW w:w="2694" w:type="dxa"/>
            <w:tcBorders>
              <w:top w:val="single" w:color="auto" w:sz="4" w:space="0"/>
              <w:left w:val="single" w:color="auto" w:sz="4" w:space="0"/>
              <w:bottom w:val="single" w:color="auto" w:sz="4" w:space="0"/>
              <w:right w:val="single" w:color="auto" w:sz="4" w:space="0"/>
            </w:tcBorders>
            <w:vAlign w:val="center"/>
          </w:tcPr>
          <w:p w14:paraId="18B12BD1">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74A5F736">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069947AA">
            <w:pPr>
              <w:widowControl/>
              <w:snapToGrid w:val="0"/>
              <w:jc w:val="center"/>
              <w:rPr>
                <w:rFonts w:ascii="Calibri" w:hAnsi="Calibri" w:cs="Calibri"/>
                <w:kern w:val="0"/>
                <w:szCs w:val="21"/>
              </w:rPr>
            </w:pPr>
          </w:p>
        </w:tc>
      </w:tr>
      <w:tr w14:paraId="4A80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8F4E105">
            <w:pPr>
              <w:widowControl/>
              <w:snapToGrid w:val="0"/>
              <w:jc w:val="center"/>
              <w:rPr>
                <w:rFonts w:ascii="Calibri" w:hAnsi="Calibri" w:cs="Calibri"/>
                <w:kern w:val="0"/>
                <w:szCs w:val="21"/>
              </w:rPr>
            </w:pPr>
            <w:r>
              <w:rPr>
                <w:kern w:val="0"/>
              </w:rPr>
              <w:t>3</w:t>
            </w:r>
          </w:p>
        </w:tc>
        <w:tc>
          <w:tcPr>
            <w:tcW w:w="2694" w:type="dxa"/>
            <w:tcBorders>
              <w:top w:val="single" w:color="auto" w:sz="4" w:space="0"/>
              <w:left w:val="single" w:color="auto" w:sz="4" w:space="0"/>
              <w:bottom w:val="single" w:color="auto" w:sz="4" w:space="0"/>
              <w:right w:val="single" w:color="auto" w:sz="4" w:space="0"/>
            </w:tcBorders>
            <w:vAlign w:val="center"/>
          </w:tcPr>
          <w:p w14:paraId="435C8084">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693EEA91">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54D6DCB4">
            <w:pPr>
              <w:widowControl/>
              <w:snapToGrid w:val="0"/>
              <w:jc w:val="center"/>
              <w:rPr>
                <w:rFonts w:ascii="Calibri" w:hAnsi="Calibri" w:cs="Calibri"/>
                <w:kern w:val="0"/>
                <w:szCs w:val="21"/>
              </w:rPr>
            </w:pPr>
          </w:p>
        </w:tc>
      </w:tr>
      <w:tr w14:paraId="7455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8D482C0">
            <w:pPr>
              <w:widowControl/>
              <w:snapToGrid w:val="0"/>
              <w:jc w:val="center"/>
              <w:rPr>
                <w:rFonts w:ascii="Calibri" w:hAnsi="Calibri" w:cs="Calibri"/>
                <w:kern w:val="0"/>
                <w:szCs w:val="21"/>
              </w:rPr>
            </w:pPr>
            <w:r>
              <w:rPr>
                <w:kern w:val="0"/>
              </w:rPr>
              <w:t>4</w:t>
            </w:r>
          </w:p>
        </w:tc>
        <w:tc>
          <w:tcPr>
            <w:tcW w:w="2694" w:type="dxa"/>
            <w:tcBorders>
              <w:top w:val="single" w:color="auto" w:sz="4" w:space="0"/>
              <w:left w:val="single" w:color="auto" w:sz="4" w:space="0"/>
              <w:bottom w:val="single" w:color="auto" w:sz="4" w:space="0"/>
              <w:right w:val="single" w:color="auto" w:sz="4" w:space="0"/>
            </w:tcBorders>
            <w:vAlign w:val="center"/>
          </w:tcPr>
          <w:p w14:paraId="6BFEA7FF">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542BEFA8">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3E6FDA58">
            <w:pPr>
              <w:widowControl/>
              <w:snapToGrid w:val="0"/>
              <w:jc w:val="center"/>
              <w:rPr>
                <w:rFonts w:ascii="Calibri" w:hAnsi="Calibri" w:cs="Calibri"/>
                <w:kern w:val="0"/>
                <w:szCs w:val="21"/>
              </w:rPr>
            </w:pPr>
          </w:p>
        </w:tc>
      </w:tr>
      <w:tr w14:paraId="6F1E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4B399FE">
            <w:pPr>
              <w:widowControl/>
              <w:snapToGrid w:val="0"/>
              <w:jc w:val="center"/>
              <w:rPr>
                <w:rFonts w:ascii="Calibri" w:hAnsi="Calibri" w:cs="Calibri"/>
                <w:kern w:val="0"/>
                <w:szCs w:val="21"/>
              </w:rPr>
            </w:pPr>
            <w:r>
              <w:rPr>
                <w:kern w:val="0"/>
              </w:rPr>
              <w:t>5</w:t>
            </w:r>
          </w:p>
        </w:tc>
        <w:tc>
          <w:tcPr>
            <w:tcW w:w="2694" w:type="dxa"/>
            <w:tcBorders>
              <w:top w:val="single" w:color="auto" w:sz="4" w:space="0"/>
              <w:left w:val="single" w:color="auto" w:sz="4" w:space="0"/>
              <w:bottom w:val="single" w:color="auto" w:sz="4" w:space="0"/>
              <w:right w:val="single" w:color="auto" w:sz="4" w:space="0"/>
            </w:tcBorders>
            <w:vAlign w:val="center"/>
          </w:tcPr>
          <w:p w14:paraId="2FFE6705">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413C43D5">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36EEA940">
            <w:pPr>
              <w:widowControl/>
              <w:snapToGrid w:val="0"/>
              <w:jc w:val="center"/>
              <w:rPr>
                <w:rFonts w:ascii="Calibri" w:hAnsi="Calibri" w:cs="Calibri"/>
                <w:kern w:val="0"/>
                <w:szCs w:val="21"/>
              </w:rPr>
            </w:pPr>
          </w:p>
        </w:tc>
      </w:tr>
      <w:tr w14:paraId="5B42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DDD6976">
            <w:pPr>
              <w:widowControl/>
              <w:snapToGrid w:val="0"/>
              <w:jc w:val="center"/>
              <w:rPr>
                <w:rFonts w:ascii="Calibri" w:hAnsi="Calibri" w:cs="Calibri"/>
                <w:kern w:val="0"/>
                <w:szCs w:val="21"/>
              </w:rPr>
            </w:pPr>
            <w:r>
              <w:rPr>
                <w:kern w:val="0"/>
              </w:rPr>
              <w:t>……</w:t>
            </w:r>
          </w:p>
        </w:tc>
        <w:tc>
          <w:tcPr>
            <w:tcW w:w="2694" w:type="dxa"/>
            <w:tcBorders>
              <w:top w:val="single" w:color="auto" w:sz="4" w:space="0"/>
              <w:left w:val="single" w:color="auto" w:sz="4" w:space="0"/>
              <w:bottom w:val="single" w:color="auto" w:sz="4" w:space="0"/>
              <w:right w:val="single" w:color="auto" w:sz="4" w:space="0"/>
            </w:tcBorders>
            <w:vAlign w:val="center"/>
          </w:tcPr>
          <w:p w14:paraId="5A263FDB">
            <w:pPr>
              <w:widowControl/>
              <w:snapToGrid w:val="0"/>
              <w:jc w:val="center"/>
              <w:rPr>
                <w:rFonts w:ascii="Calibri" w:hAnsi="Calibri" w:cs="Calibri"/>
                <w:kern w:val="0"/>
                <w:szCs w:val="21"/>
              </w:rPr>
            </w:pPr>
          </w:p>
        </w:tc>
        <w:tc>
          <w:tcPr>
            <w:tcW w:w="3469" w:type="dxa"/>
            <w:tcBorders>
              <w:top w:val="single" w:color="auto" w:sz="4" w:space="0"/>
              <w:left w:val="single" w:color="auto" w:sz="4" w:space="0"/>
              <w:bottom w:val="single" w:color="auto" w:sz="4" w:space="0"/>
              <w:right w:val="single" w:color="auto" w:sz="4" w:space="0"/>
            </w:tcBorders>
            <w:vAlign w:val="center"/>
          </w:tcPr>
          <w:p w14:paraId="2C11AA96">
            <w:pPr>
              <w:widowControl/>
              <w:snapToGrid w:val="0"/>
              <w:jc w:val="center"/>
              <w:rPr>
                <w:rFonts w:ascii="Calibri" w:hAnsi="Calibri" w:cs="Calibri"/>
                <w:kern w:val="0"/>
                <w:szCs w:val="21"/>
              </w:rPr>
            </w:pPr>
          </w:p>
        </w:tc>
        <w:tc>
          <w:tcPr>
            <w:tcW w:w="1624" w:type="dxa"/>
            <w:tcBorders>
              <w:top w:val="single" w:color="auto" w:sz="4" w:space="0"/>
              <w:left w:val="single" w:color="auto" w:sz="4" w:space="0"/>
              <w:bottom w:val="single" w:color="auto" w:sz="4" w:space="0"/>
              <w:right w:val="single" w:color="auto" w:sz="4" w:space="0"/>
            </w:tcBorders>
            <w:vAlign w:val="center"/>
          </w:tcPr>
          <w:p w14:paraId="12E6E549">
            <w:pPr>
              <w:widowControl/>
              <w:snapToGrid w:val="0"/>
              <w:jc w:val="center"/>
              <w:rPr>
                <w:rFonts w:ascii="Calibri" w:hAnsi="Calibri" w:cs="Calibri"/>
                <w:kern w:val="0"/>
                <w:szCs w:val="21"/>
              </w:rPr>
            </w:pPr>
          </w:p>
        </w:tc>
      </w:tr>
    </w:tbl>
    <w:p w14:paraId="7C170109">
      <w:pPr>
        <w:spacing w:before="156" w:beforeLines="50"/>
        <w:ind w:firstLine="420" w:firstLineChars="200"/>
        <w:rPr>
          <w:rFonts w:ascii="Calibri" w:hAnsi="Calibri" w:cs="Calibri"/>
          <w:szCs w:val="21"/>
        </w:rPr>
      </w:pPr>
      <w:r>
        <w:rPr>
          <w:rFonts w:hint="eastAsia" w:ascii="宋体" w:hAnsi="宋体"/>
        </w:rPr>
        <w:t>参选</w:t>
      </w:r>
      <w:r>
        <w:rPr>
          <w:rFonts w:ascii="宋体" w:hAnsi="宋体"/>
        </w:rPr>
        <w:t>人保证：响应</w:t>
      </w:r>
      <w:r>
        <w:rPr>
          <w:rFonts w:hint="eastAsia" w:ascii="宋体" w:hAnsi="宋体"/>
        </w:rPr>
        <w:t>比选人要求</w:t>
      </w:r>
      <w:r>
        <w:rPr>
          <w:rFonts w:ascii="宋体" w:hAnsi="宋体"/>
        </w:rPr>
        <w:t>的全部</w:t>
      </w:r>
      <w:r>
        <w:rPr>
          <w:rFonts w:hint="eastAsia" w:ascii="宋体" w:hAnsi="宋体"/>
        </w:rPr>
        <w:t>内容，无商务和技术偏差</w:t>
      </w:r>
      <w:r>
        <w:rPr>
          <w:rFonts w:ascii="宋体" w:hAnsi="宋体"/>
        </w:rPr>
        <w:t>。</w:t>
      </w:r>
    </w:p>
    <w:p w14:paraId="5433BDE5">
      <w:pPr>
        <w:widowControl/>
        <w:spacing w:line="480" w:lineRule="exact"/>
        <w:ind w:firstLine="4760" w:firstLineChars="1700"/>
        <w:rPr>
          <w:rFonts w:ascii="仿宋" w:hAnsi="仿宋" w:eastAsia="仿宋"/>
          <w:kern w:val="0"/>
          <w:sz w:val="28"/>
          <w:szCs w:val="28"/>
        </w:rPr>
      </w:pPr>
    </w:p>
    <w:p w14:paraId="1D12A0EB">
      <w:pPr>
        <w:widowControl/>
        <w:spacing w:line="480" w:lineRule="exact"/>
        <w:ind w:firstLine="4760" w:firstLineChars="1700"/>
        <w:rPr>
          <w:rFonts w:ascii="仿宋" w:hAnsi="仿宋" w:eastAsia="仿宋"/>
          <w:kern w:val="0"/>
          <w:sz w:val="28"/>
          <w:szCs w:val="28"/>
        </w:rPr>
      </w:pPr>
    </w:p>
    <w:p w14:paraId="4C966E73">
      <w:pPr>
        <w:widowControl/>
        <w:spacing w:line="480" w:lineRule="exact"/>
        <w:ind w:firstLine="4760" w:firstLineChars="1700"/>
        <w:rPr>
          <w:rFonts w:ascii="仿宋" w:hAnsi="仿宋" w:eastAsia="仿宋"/>
          <w:kern w:val="0"/>
          <w:sz w:val="28"/>
          <w:szCs w:val="28"/>
        </w:rPr>
      </w:pPr>
    </w:p>
    <w:p w14:paraId="74873F7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150302F">
      <w:pPr>
        <w:widowControl/>
        <w:spacing w:line="480" w:lineRule="exact"/>
        <w:rPr>
          <w:rFonts w:ascii="仿宋" w:hAnsi="仿宋" w:eastAsia="仿宋"/>
          <w:kern w:val="0"/>
          <w:sz w:val="28"/>
          <w:szCs w:val="28"/>
        </w:rPr>
      </w:pPr>
    </w:p>
    <w:p w14:paraId="6CD19E9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44E11A0">
      <w:pPr>
        <w:widowControl/>
        <w:spacing w:line="480" w:lineRule="exact"/>
        <w:rPr>
          <w:rFonts w:ascii="仿宋" w:hAnsi="仿宋" w:eastAsia="仿宋"/>
          <w:kern w:val="0"/>
          <w:sz w:val="28"/>
          <w:szCs w:val="28"/>
        </w:rPr>
      </w:pPr>
    </w:p>
    <w:p w14:paraId="6A4BFA88">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70798283">
      <w:pPr>
        <w:pStyle w:val="2"/>
        <w:rPr>
          <w:rFonts w:hint="eastAsia"/>
        </w:rPr>
        <w:sectPr>
          <w:pgSz w:w="11906" w:h="16838"/>
          <w:pgMar w:top="1440" w:right="1800" w:bottom="1440" w:left="1800" w:header="851" w:footer="992" w:gutter="0"/>
          <w:pgNumType w:fmt="decimal"/>
          <w:cols w:space="425" w:num="1"/>
          <w:docGrid w:type="lines" w:linePitch="312" w:charSpace="0"/>
        </w:sectPr>
      </w:pPr>
    </w:p>
    <w:p w14:paraId="555C9C7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仿宋" w:cs="Times New Roman"/>
          <w:bCs/>
          <w:kern w:val="44"/>
          <w:sz w:val="44"/>
          <w:szCs w:val="44"/>
          <w:lang w:val="en-US" w:eastAsia="zh-CN" w:bidi="ar-SA"/>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4CB1C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784B5A0">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4FA0C4E5">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56040C8">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0EF1E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3BC9A63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011E0F4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7015BBCD">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5CBA7D64">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72369AF9">
            <w:pPr>
              <w:widowControl/>
              <w:spacing w:line="360" w:lineRule="exact"/>
              <w:rPr>
                <w:rFonts w:ascii="仿宋" w:hAnsi="仿宋" w:eastAsia="仿宋" w:cs="仿宋"/>
                <w:kern w:val="0"/>
                <w:szCs w:val="21"/>
              </w:rPr>
            </w:pPr>
            <w:r>
              <w:rPr>
                <w:rFonts w:hint="eastAsia" w:ascii="仿宋" w:hAnsi="仿宋" w:eastAsia="仿宋" w:cs="仿宋"/>
                <w:kern w:val="0"/>
                <w:szCs w:val="21"/>
              </w:rPr>
              <w:t>⑴按照评标总得分由高到低的顺序推荐中选候选人。参选人评标总得分相同时，按照其投标报价由低至高排序。投标报价也相同时，依次按照服务方案、商务部分得分由高到低确定排序。以上都相同时，按参选人现场签到的先后时间顺序确定中选候选人排序。</w:t>
            </w:r>
          </w:p>
          <w:p w14:paraId="1FE0CCAE">
            <w:pPr>
              <w:widowControl/>
              <w:spacing w:line="360" w:lineRule="exact"/>
              <w:rPr>
                <w:rFonts w:hint="eastAsia" w:ascii="仿宋" w:hAnsi="仿宋" w:eastAsia="仿宋" w:cs="仿宋"/>
                <w:kern w:val="0"/>
                <w:szCs w:val="21"/>
                <w:u w:val="single"/>
              </w:rPr>
            </w:pPr>
            <w:r>
              <w:rPr>
                <w:rFonts w:hint="eastAsia" w:ascii="仿宋" w:hAnsi="仿宋" w:eastAsia="仿宋" w:cs="仿宋"/>
                <w:kern w:val="0"/>
                <w:szCs w:val="21"/>
              </w:rPr>
              <w:t>⑵如果排名最高的供应商放弃资格，则按照得分高低依次顺延。</w:t>
            </w:r>
          </w:p>
        </w:tc>
      </w:tr>
      <w:tr w14:paraId="74847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C7F3E46">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668B353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05689E7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18BD435">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4DF22FF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11883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231B0035">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6F4CEF05">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6F95F95">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31C5D073">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2147E1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796D1EA8">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7EEF7BC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DC85EDC">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14A46CF">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1A4C1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06486F6">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53BCC45">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946915">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44C2EB3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1ADB59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2B5E4E91">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4431FB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248DDAB">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5513BA35">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798BF1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0B8FA6DD">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73BB50F3">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736A0F8">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4C51C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03FABECF">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6D20D1D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6C6E90F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AD9E69D">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198F3E5">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032E6B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143D2A4">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0A4EFAD">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407CF3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064D6F31">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6FE4E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5907F47">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E87146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FDA752">
            <w:pPr>
              <w:widowControl/>
              <w:spacing w:line="360" w:lineRule="exact"/>
              <w:rPr>
                <w:rFonts w:hint="eastAsia" w:ascii="仿宋" w:hAnsi="仿宋" w:eastAsia="仿宋" w:cs="仿宋"/>
                <w:kern w:val="0"/>
                <w:szCs w:val="21"/>
              </w:rPr>
            </w:pPr>
            <w:r>
              <w:rPr>
                <w:rFonts w:hint="eastAsia" w:ascii="仿宋" w:hAnsi="仿宋" w:eastAsia="仿宋" w:cs="仿宋"/>
                <w:szCs w:val="21"/>
              </w:rPr>
              <w:t>类似</w:t>
            </w:r>
            <w:r>
              <w:rPr>
                <w:rFonts w:hint="eastAsia" w:ascii="仿宋" w:hAnsi="仿宋" w:eastAsia="仿宋" w:cs="仿宋"/>
                <w:szCs w:val="21"/>
                <w:lang w:val="en-US" w:eastAsia="zh-CN"/>
              </w:rPr>
              <w:t>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6F752367">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13DFA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BCBC03A">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8C903E2">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B721CF6">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7F4FEEF1">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409BA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120A42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990A03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30F46DD">
            <w:pPr>
              <w:widowControl/>
              <w:spacing w:line="360" w:lineRule="exac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4E24B396">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03EAF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A468CA4">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73505E3">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63E1F69">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3D460E6C">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7FD965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B6E2AF8">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5B82CE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1BCFCA5">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63882FC6">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3339E3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43C02888">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D53BDF4">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1182DC">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761970E">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49797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4E1D85E4">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5ABD0E73">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79F82B88">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79605D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34F1B847">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29D5A957">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详细评审</w:t>
            </w:r>
          </w:p>
        </w:tc>
        <w:tc>
          <w:tcPr>
            <w:tcW w:w="2008" w:type="dxa"/>
            <w:tcBorders>
              <w:top w:val="single" w:color="auto" w:sz="4" w:space="0"/>
              <w:left w:val="single" w:color="auto" w:sz="4" w:space="0"/>
              <w:bottom w:val="single" w:color="auto" w:sz="4" w:space="0"/>
              <w:right w:val="single" w:color="auto" w:sz="4" w:space="0"/>
            </w:tcBorders>
            <w:vAlign w:val="center"/>
          </w:tcPr>
          <w:p w14:paraId="2D296FD9">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243078BC">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lang w:val="en-US" w:eastAsia="zh-CN"/>
              </w:rPr>
              <w:t>对资格、符合性评审符合要求的参选单位进行详细评审，评标委员会按照综合评分表规定的评审因素和标准进行评审计分（详见附表：综合评分表），并计算出参选单位评标总得分。</w:t>
            </w:r>
          </w:p>
        </w:tc>
      </w:tr>
    </w:tbl>
    <w:p w14:paraId="5C83AE5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仿宋" w:cs="Times New Roman"/>
          <w:bCs/>
          <w:kern w:val="44"/>
          <w:sz w:val="44"/>
          <w:szCs w:val="44"/>
          <w:lang w:val="en-US" w:eastAsia="zh-CN" w:bidi="ar-SA"/>
        </w:rPr>
      </w:pPr>
    </w:p>
    <w:p w14:paraId="375FFCEE">
      <w:pPr>
        <w:adjustRightInd w:val="0"/>
        <w:snapToGrid w:val="0"/>
        <w:spacing w:line="560" w:lineRule="exact"/>
        <w:ind w:firstLine="3080" w:firstLineChars="700"/>
        <w:jc w:val="both"/>
        <w:rPr>
          <w:rFonts w:ascii="Arial Unicode MS" w:hAnsi="Arial Unicode MS" w:eastAsia="Arial Unicode MS" w:cs="Arial Unicode MS"/>
          <w:bCs/>
          <w:kern w:val="44"/>
          <w:sz w:val="44"/>
          <w:szCs w:val="44"/>
        </w:rPr>
      </w:pPr>
      <w:r>
        <w:rPr>
          <w:rFonts w:hint="eastAsia" w:ascii="Arial Unicode MS" w:hAnsi="Arial Unicode MS" w:eastAsia="Arial Unicode MS" w:cs="Arial Unicode MS"/>
          <w:bCs/>
          <w:kern w:val="44"/>
          <w:sz w:val="44"/>
          <w:szCs w:val="44"/>
        </w:rPr>
        <w:t>综合评分表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2250"/>
        <w:gridCol w:w="3585"/>
        <w:gridCol w:w="1546"/>
      </w:tblGrid>
      <w:tr w14:paraId="5B6A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41" w:type="dxa"/>
            <w:vAlign w:val="center"/>
          </w:tcPr>
          <w:p w14:paraId="6E7F0C1C">
            <w:pPr>
              <w:pStyle w:val="24"/>
              <w:jc w:val="center"/>
              <w:rPr>
                <w:rFonts w:hint="eastAsia" w:ascii="仿宋" w:hAnsi="仿宋" w:eastAsia="仿宋" w:cs="仿宋"/>
                <w:b/>
                <w:bCs/>
                <w:color w:val="auto"/>
                <w:vertAlign w:val="baseline"/>
                <w:lang w:val="en-US" w:eastAsia="zh-CN"/>
              </w:rPr>
            </w:pPr>
            <w:r>
              <w:rPr>
                <w:rFonts w:hint="eastAsia" w:ascii="仿宋" w:hAnsi="仿宋" w:eastAsia="仿宋" w:cs="仿宋"/>
                <w:b/>
                <w:bCs/>
                <w:color w:val="auto"/>
                <w:vertAlign w:val="baseline"/>
                <w:lang w:val="en-US" w:eastAsia="zh-CN"/>
              </w:rPr>
              <w:t>序号</w:t>
            </w:r>
          </w:p>
        </w:tc>
        <w:tc>
          <w:tcPr>
            <w:tcW w:w="2250" w:type="dxa"/>
            <w:vAlign w:val="center"/>
          </w:tcPr>
          <w:p w14:paraId="7662F8FA">
            <w:pPr>
              <w:pStyle w:val="24"/>
              <w:jc w:val="center"/>
              <w:rPr>
                <w:rFonts w:hint="eastAsia" w:ascii="仿宋" w:hAnsi="仿宋" w:eastAsia="仿宋" w:cs="仿宋"/>
                <w:b/>
                <w:bCs/>
                <w:color w:val="auto"/>
                <w:vertAlign w:val="baseline"/>
                <w:lang w:val="en-US" w:eastAsia="zh-CN"/>
              </w:rPr>
            </w:pPr>
            <w:r>
              <w:rPr>
                <w:rFonts w:hint="eastAsia" w:ascii="仿宋" w:hAnsi="仿宋" w:eastAsia="仿宋" w:cs="仿宋"/>
                <w:b/>
                <w:bCs/>
                <w:color w:val="auto"/>
                <w:vertAlign w:val="baseline"/>
                <w:lang w:val="en-US" w:eastAsia="zh-CN"/>
              </w:rPr>
              <w:t>评审因素及分值</w:t>
            </w:r>
          </w:p>
        </w:tc>
        <w:tc>
          <w:tcPr>
            <w:tcW w:w="3585" w:type="dxa"/>
            <w:vAlign w:val="center"/>
          </w:tcPr>
          <w:p w14:paraId="1EA56573">
            <w:pPr>
              <w:pStyle w:val="24"/>
              <w:jc w:val="center"/>
              <w:rPr>
                <w:rFonts w:hint="eastAsia" w:ascii="仿宋" w:hAnsi="仿宋" w:eastAsia="仿宋" w:cs="仿宋"/>
                <w:b/>
                <w:bCs/>
                <w:color w:val="auto"/>
                <w:vertAlign w:val="baseline"/>
                <w:lang w:val="en-US" w:eastAsia="zh-CN"/>
              </w:rPr>
            </w:pPr>
            <w:r>
              <w:rPr>
                <w:rFonts w:hint="eastAsia" w:ascii="仿宋" w:hAnsi="仿宋" w:eastAsia="仿宋" w:cs="仿宋"/>
                <w:b/>
                <w:bCs/>
                <w:color w:val="auto"/>
                <w:vertAlign w:val="baseline"/>
                <w:lang w:val="en-US" w:eastAsia="zh-CN"/>
              </w:rPr>
              <w:t>评审标准</w:t>
            </w:r>
          </w:p>
        </w:tc>
        <w:tc>
          <w:tcPr>
            <w:tcW w:w="1546" w:type="dxa"/>
            <w:vAlign w:val="center"/>
          </w:tcPr>
          <w:p w14:paraId="1A061D90">
            <w:pPr>
              <w:pStyle w:val="24"/>
              <w:jc w:val="center"/>
              <w:rPr>
                <w:rFonts w:hint="eastAsia" w:ascii="仿宋" w:hAnsi="仿宋" w:eastAsia="仿宋" w:cs="仿宋"/>
                <w:b/>
                <w:bCs/>
                <w:color w:val="auto"/>
                <w:vertAlign w:val="baseline"/>
                <w:lang w:val="en-US" w:eastAsia="zh-CN"/>
              </w:rPr>
            </w:pPr>
            <w:r>
              <w:rPr>
                <w:rFonts w:hint="eastAsia" w:ascii="仿宋" w:hAnsi="仿宋" w:eastAsia="仿宋" w:cs="仿宋"/>
                <w:b/>
                <w:bCs/>
                <w:color w:val="auto"/>
                <w:vertAlign w:val="baseline"/>
                <w:lang w:val="en-US" w:eastAsia="zh-CN"/>
              </w:rPr>
              <w:t>评审计分</w:t>
            </w:r>
          </w:p>
        </w:tc>
      </w:tr>
      <w:tr w14:paraId="0062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1141" w:type="dxa"/>
            <w:vMerge w:val="restart"/>
            <w:vAlign w:val="center"/>
          </w:tcPr>
          <w:p w14:paraId="4CA43D97">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商务</w:t>
            </w:r>
          </w:p>
          <w:p w14:paraId="37B1D3D1">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部分</w:t>
            </w:r>
          </w:p>
          <w:p w14:paraId="30605F72">
            <w:pPr>
              <w:pStyle w:val="24"/>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（30分）</w:t>
            </w:r>
          </w:p>
        </w:tc>
        <w:tc>
          <w:tcPr>
            <w:tcW w:w="2250" w:type="dxa"/>
            <w:shd w:val="clear" w:color="auto" w:fill="auto"/>
            <w:vAlign w:val="center"/>
          </w:tcPr>
          <w:p w14:paraId="5CF4AE23">
            <w:pPr>
              <w:pStyle w:val="24"/>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技术力量</w:t>
            </w:r>
          </w:p>
          <w:p w14:paraId="29B76FF5">
            <w:pPr>
              <w:pStyle w:val="24"/>
              <w:jc w:val="center"/>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vertAlign w:val="baseline"/>
                <w:lang w:val="en-US" w:eastAsia="zh-CN"/>
              </w:rPr>
              <w:t>（10分）</w:t>
            </w:r>
          </w:p>
        </w:tc>
        <w:tc>
          <w:tcPr>
            <w:tcW w:w="3585" w:type="dxa"/>
            <w:shd w:val="clear" w:color="auto" w:fill="auto"/>
            <w:vAlign w:val="top"/>
          </w:tcPr>
          <w:p w14:paraId="4C58CB2F">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vertAlign w:val="baseline"/>
                <w:lang w:val="en-US" w:eastAsia="zh-CN"/>
              </w:rPr>
              <w:t>参选单位技术人员（拥有安全类相关职称或资格证书）达到3人计5分，每增加1人加1分，最多不超过10分。需提供每个技术人员社保部门网上打印的近半年（2024年7月-2024年12月）社保证明复印件并加盖公章供评委查验，否则不得分。</w:t>
            </w:r>
          </w:p>
        </w:tc>
        <w:tc>
          <w:tcPr>
            <w:tcW w:w="1546" w:type="dxa"/>
          </w:tcPr>
          <w:p w14:paraId="1A0A2B59">
            <w:pPr>
              <w:pStyle w:val="24"/>
              <w:jc w:val="center"/>
              <w:rPr>
                <w:rFonts w:hint="eastAsia" w:ascii="仿宋" w:hAnsi="仿宋" w:eastAsia="仿宋" w:cs="仿宋"/>
                <w:color w:val="auto"/>
                <w:vertAlign w:val="baseline"/>
              </w:rPr>
            </w:pPr>
          </w:p>
        </w:tc>
      </w:tr>
      <w:tr w14:paraId="044B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1141" w:type="dxa"/>
            <w:vMerge w:val="continue"/>
            <w:vAlign w:val="center"/>
          </w:tcPr>
          <w:p w14:paraId="79BF960E">
            <w:pPr>
              <w:pStyle w:val="24"/>
              <w:jc w:val="center"/>
              <w:rPr>
                <w:rFonts w:hint="eastAsia" w:ascii="仿宋" w:hAnsi="仿宋" w:eastAsia="仿宋" w:cs="仿宋"/>
                <w:color w:val="auto"/>
                <w:vertAlign w:val="baseline"/>
              </w:rPr>
            </w:pPr>
          </w:p>
        </w:tc>
        <w:tc>
          <w:tcPr>
            <w:tcW w:w="2250" w:type="dxa"/>
            <w:vAlign w:val="center"/>
          </w:tcPr>
          <w:p w14:paraId="75E09C52">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企业资信</w:t>
            </w:r>
          </w:p>
          <w:p w14:paraId="6C4B9A3A">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66F561C7">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参选单位有安全生产标准化评审机构资质证书和安全文化建设评价机构资质证书的，每拥有1个计5分，最多计10分，需提供安全生产标准化评审机构证书复印件和安全文化建设评价机构资质证书复印件，并加盖公章供评委查验。</w:t>
            </w:r>
          </w:p>
        </w:tc>
        <w:tc>
          <w:tcPr>
            <w:tcW w:w="1546" w:type="dxa"/>
          </w:tcPr>
          <w:p w14:paraId="4426FA1B">
            <w:pPr>
              <w:pStyle w:val="24"/>
              <w:jc w:val="center"/>
              <w:rPr>
                <w:rFonts w:hint="eastAsia" w:ascii="仿宋" w:hAnsi="仿宋" w:eastAsia="仿宋" w:cs="仿宋"/>
                <w:color w:val="auto"/>
                <w:vertAlign w:val="baseline"/>
              </w:rPr>
            </w:pPr>
          </w:p>
        </w:tc>
      </w:tr>
      <w:tr w14:paraId="23A1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1141" w:type="dxa"/>
            <w:vMerge w:val="continue"/>
            <w:vAlign w:val="center"/>
          </w:tcPr>
          <w:p w14:paraId="0C24195A">
            <w:pPr>
              <w:pStyle w:val="24"/>
              <w:jc w:val="center"/>
              <w:rPr>
                <w:rFonts w:hint="eastAsia" w:ascii="仿宋" w:hAnsi="仿宋" w:eastAsia="仿宋" w:cs="仿宋"/>
                <w:color w:val="auto"/>
                <w:vertAlign w:val="baseline"/>
              </w:rPr>
            </w:pPr>
          </w:p>
        </w:tc>
        <w:tc>
          <w:tcPr>
            <w:tcW w:w="2250" w:type="dxa"/>
            <w:vAlign w:val="center"/>
          </w:tcPr>
          <w:p w14:paraId="3DF5C7C1">
            <w:pPr>
              <w:pStyle w:val="24"/>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类似业绩</w:t>
            </w:r>
          </w:p>
          <w:p w14:paraId="148284DD">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2C0883CD">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rPr>
            </w:pPr>
            <w:r>
              <w:rPr>
                <w:rFonts w:hint="eastAsia" w:ascii="仿宋" w:hAnsi="仿宋" w:eastAsia="仿宋" w:cs="仿宋"/>
                <w:color w:val="auto"/>
                <w:vertAlign w:val="baseline"/>
                <w:lang w:val="en-US" w:eastAsia="zh-CN"/>
              </w:rPr>
              <w:t>参选单位拥有29万以上安全服务类似业绩的，每1个计5分，最多计10分，需提供完整版合同复印件并加盖公章。</w:t>
            </w:r>
          </w:p>
        </w:tc>
        <w:tc>
          <w:tcPr>
            <w:tcW w:w="1546" w:type="dxa"/>
          </w:tcPr>
          <w:p w14:paraId="4FC8E17D">
            <w:pPr>
              <w:pStyle w:val="24"/>
              <w:jc w:val="center"/>
              <w:rPr>
                <w:rFonts w:hint="eastAsia" w:ascii="仿宋" w:hAnsi="仿宋" w:eastAsia="仿宋" w:cs="仿宋"/>
                <w:color w:val="auto"/>
                <w:vertAlign w:val="baseline"/>
              </w:rPr>
            </w:pPr>
          </w:p>
        </w:tc>
      </w:tr>
      <w:tr w14:paraId="39B4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5" w:hRule="atLeast"/>
        </w:trPr>
        <w:tc>
          <w:tcPr>
            <w:tcW w:w="1141" w:type="dxa"/>
            <w:vMerge w:val="restart"/>
            <w:vAlign w:val="center"/>
          </w:tcPr>
          <w:p w14:paraId="57533ADD">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技术</w:t>
            </w:r>
          </w:p>
          <w:p w14:paraId="47BF6BF1">
            <w:pPr>
              <w:pStyle w:val="24"/>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部分</w:t>
            </w:r>
          </w:p>
          <w:p w14:paraId="20F4FA32">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（40分）</w:t>
            </w:r>
          </w:p>
        </w:tc>
        <w:tc>
          <w:tcPr>
            <w:tcW w:w="2250" w:type="dxa"/>
            <w:vAlign w:val="center"/>
          </w:tcPr>
          <w:p w14:paraId="1E0D9A60">
            <w:pPr>
              <w:pStyle w:val="24"/>
              <w:jc w:val="center"/>
              <w:rPr>
                <w:rFonts w:hint="eastAsia" w:ascii="仿宋" w:hAnsi="仿宋" w:eastAsia="仿宋" w:cs="仿宋"/>
                <w:color w:val="auto"/>
                <w:vertAlign w:val="baseline"/>
                <w:lang w:val="en-US" w:eastAsia="zh-CN"/>
              </w:rPr>
            </w:pPr>
          </w:p>
          <w:p w14:paraId="7391E0F6">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合理化建议</w:t>
            </w:r>
          </w:p>
          <w:p w14:paraId="00058FD4">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759DF286">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lang w:eastAsia="zh-CN"/>
              </w:rPr>
            </w:pPr>
            <w:r>
              <w:rPr>
                <w:rFonts w:hint="eastAsia" w:ascii="仿宋" w:hAnsi="仿宋" w:eastAsia="仿宋" w:cs="仿宋"/>
                <w:color w:val="auto"/>
                <w:vertAlign w:val="baseline"/>
              </w:rPr>
              <w:t>按报价单位提供的合理化建议分档计分:合理化建议全面、提供的实施建议方案切实可行;对重点问题进行研究、提出符合本项目特点的建议计</w:t>
            </w:r>
            <w:r>
              <w:rPr>
                <w:rFonts w:hint="eastAsia" w:ascii="仿宋" w:hAnsi="仿宋" w:eastAsia="仿宋" w:cs="仿宋"/>
                <w:color w:val="auto"/>
                <w:vertAlign w:val="baseline"/>
                <w:lang w:val="en-US" w:eastAsia="zh-CN"/>
              </w:rPr>
              <w:t>10</w:t>
            </w:r>
            <w:r>
              <w:rPr>
                <w:rFonts w:hint="eastAsia" w:ascii="仿宋" w:hAnsi="仿宋" w:eastAsia="仿宋" w:cs="仿宋"/>
                <w:color w:val="auto"/>
                <w:vertAlign w:val="baseline"/>
              </w:rPr>
              <w:t>分;合理化建议较全面、提供的实施建议方案切实可行计</w:t>
            </w:r>
            <w:r>
              <w:rPr>
                <w:rFonts w:hint="eastAsia" w:ascii="仿宋" w:hAnsi="仿宋" w:eastAsia="仿宋" w:cs="仿宋"/>
                <w:color w:val="auto"/>
                <w:vertAlign w:val="baseline"/>
                <w:lang w:val="en-US" w:eastAsia="zh-CN"/>
              </w:rPr>
              <w:t>7</w:t>
            </w:r>
            <w:r>
              <w:rPr>
                <w:rFonts w:hint="eastAsia" w:ascii="仿宋" w:hAnsi="仿宋" w:eastAsia="仿宋" w:cs="仿宋"/>
                <w:color w:val="auto"/>
                <w:vertAlign w:val="baseline"/>
              </w:rPr>
              <w:t>分;提出一般的合理化建议计</w:t>
            </w:r>
            <w:r>
              <w:rPr>
                <w:rFonts w:hint="eastAsia" w:ascii="仿宋" w:hAnsi="仿宋" w:eastAsia="仿宋" w:cs="仿宋"/>
                <w:color w:val="auto"/>
                <w:vertAlign w:val="baseline"/>
                <w:lang w:val="en-US" w:eastAsia="zh-CN"/>
              </w:rPr>
              <w:t>4</w:t>
            </w:r>
            <w:r>
              <w:rPr>
                <w:rFonts w:hint="eastAsia" w:ascii="仿宋" w:hAnsi="仿宋" w:eastAsia="仿宋" w:cs="仿宋"/>
                <w:color w:val="auto"/>
                <w:vertAlign w:val="baseline"/>
              </w:rPr>
              <w:t>分;没有提出合理化建议计0分</w:t>
            </w:r>
            <w:r>
              <w:rPr>
                <w:rFonts w:hint="eastAsia" w:ascii="仿宋" w:hAnsi="仿宋" w:eastAsia="仿宋" w:cs="仿宋"/>
                <w:color w:val="auto"/>
                <w:vertAlign w:val="baseline"/>
                <w:lang w:eastAsia="zh-CN"/>
              </w:rPr>
              <w:t>。</w:t>
            </w:r>
          </w:p>
        </w:tc>
        <w:tc>
          <w:tcPr>
            <w:tcW w:w="1546" w:type="dxa"/>
          </w:tcPr>
          <w:p w14:paraId="1215CEEF">
            <w:pPr>
              <w:pStyle w:val="24"/>
              <w:jc w:val="center"/>
              <w:rPr>
                <w:rFonts w:hint="eastAsia" w:ascii="仿宋" w:hAnsi="仿宋" w:eastAsia="仿宋" w:cs="仿宋"/>
                <w:color w:val="auto"/>
                <w:vertAlign w:val="baseline"/>
              </w:rPr>
            </w:pPr>
          </w:p>
        </w:tc>
      </w:tr>
      <w:tr w14:paraId="667E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8" w:hRule="atLeast"/>
        </w:trPr>
        <w:tc>
          <w:tcPr>
            <w:tcW w:w="1141" w:type="dxa"/>
            <w:vMerge w:val="continue"/>
            <w:vAlign w:val="center"/>
          </w:tcPr>
          <w:p w14:paraId="7101C476">
            <w:pPr>
              <w:pStyle w:val="24"/>
              <w:jc w:val="center"/>
              <w:rPr>
                <w:rFonts w:hint="eastAsia" w:ascii="仿宋" w:hAnsi="仿宋" w:eastAsia="仿宋" w:cs="仿宋"/>
                <w:color w:val="auto"/>
                <w:vertAlign w:val="baseline"/>
              </w:rPr>
            </w:pPr>
          </w:p>
        </w:tc>
        <w:tc>
          <w:tcPr>
            <w:tcW w:w="2250" w:type="dxa"/>
          </w:tcPr>
          <w:p w14:paraId="2CB5BF83">
            <w:pPr>
              <w:pStyle w:val="24"/>
              <w:jc w:val="both"/>
              <w:rPr>
                <w:rFonts w:hint="eastAsia" w:ascii="仿宋" w:hAnsi="仿宋" w:eastAsia="仿宋" w:cs="仿宋"/>
                <w:color w:val="auto"/>
                <w:vertAlign w:val="baseline"/>
                <w:lang w:val="en-US" w:eastAsia="zh-CN"/>
              </w:rPr>
            </w:pPr>
          </w:p>
          <w:p w14:paraId="5A6B0F0B">
            <w:pPr>
              <w:pStyle w:val="24"/>
              <w:jc w:val="center"/>
              <w:rPr>
                <w:rFonts w:hint="eastAsia" w:ascii="仿宋" w:hAnsi="仿宋" w:eastAsia="仿宋" w:cs="仿宋"/>
                <w:color w:val="auto"/>
                <w:vertAlign w:val="baseline"/>
                <w:lang w:val="en-US" w:eastAsia="zh-CN"/>
              </w:rPr>
            </w:pPr>
          </w:p>
          <w:p w14:paraId="7FA90512">
            <w:pPr>
              <w:pStyle w:val="24"/>
              <w:jc w:val="center"/>
              <w:rPr>
                <w:rFonts w:hint="eastAsia" w:ascii="仿宋" w:hAnsi="仿宋" w:eastAsia="仿宋" w:cs="仿宋"/>
                <w:color w:val="auto"/>
                <w:vertAlign w:val="baseline"/>
                <w:lang w:val="en-US" w:eastAsia="zh-CN"/>
              </w:rPr>
            </w:pPr>
          </w:p>
          <w:p w14:paraId="057B869B">
            <w:pPr>
              <w:pStyle w:val="24"/>
              <w:jc w:val="center"/>
              <w:rPr>
                <w:rFonts w:hint="eastAsia" w:ascii="仿宋" w:hAnsi="仿宋" w:eastAsia="仿宋" w:cs="仿宋"/>
                <w:color w:val="auto"/>
                <w:vertAlign w:val="baseline"/>
                <w:lang w:val="en-US" w:eastAsia="zh-CN"/>
              </w:rPr>
            </w:pPr>
          </w:p>
          <w:p w14:paraId="7E657E39">
            <w:pPr>
              <w:pStyle w:val="24"/>
              <w:jc w:val="center"/>
              <w:rPr>
                <w:rFonts w:hint="eastAsia" w:ascii="仿宋" w:hAnsi="仿宋" w:eastAsia="仿宋" w:cs="仿宋"/>
                <w:color w:val="auto"/>
                <w:vertAlign w:val="baseline"/>
                <w:lang w:val="en-US" w:eastAsia="zh-CN"/>
              </w:rPr>
            </w:pPr>
          </w:p>
          <w:p w14:paraId="7323962F">
            <w:pPr>
              <w:pStyle w:val="24"/>
              <w:jc w:val="center"/>
              <w:rPr>
                <w:rFonts w:hint="eastAsia" w:ascii="仿宋" w:hAnsi="仿宋" w:eastAsia="仿宋" w:cs="仿宋"/>
                <w:color w:val="auto"/>
                <w:vertAlign w:val="baseline"/>
                <w:lang w:val="en-US" w:eastAsia="zh-CN"/>
              </w:rPr>
            </w:pPr>
          </w:p>
          <w:p w14:paraId="6A3D7DAC">
            <w:pPr>
              <w:pStyle w:val="24"/>
              <w:jc w:val="center"/>
              <w:rPr>
                <w:rFonts w:hint="eastAsia" w:ascii="仿宋" w:hAnsi="仿宋" w:eastAsia="仿宋" w:cs="仿宋"/>
                <w:color w:val="auto"/>
                <w:vertAlign w:val="baseline"/>
                <w:lang w:val="en-US" w:eastAsia="zh-CN"/>
              </w:rPr>
            </w:pPr>
          </w:p>
          <w:p w14:paraId="0C964ECA">
            <w:pPr>
              <w:pStyle w:val="24"/>
              <w:jc w:val="center"/>
              <w:rPr>
                <w:rFonts w:hint="eastAsia" w:ascii="仿宋" w:hAnsi="仿宋" w:eastAsia="仿宋" w:cs="仿宋"/>
                <w:color w:val="auto"/>
                <w:vertAlign w:val="baseline"/>
                <w:lang w:val="en-US" w:eastAsia="zh-CN"/>
              </w:rPr>
            </w:pPr>
          </w:p>
          <w:p w14:paraId="7E148B9E">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技术方案</w:t>
            </w:r>
          </w:p>
          <w:p w14:paraId="51B2FD90">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5AA5F516">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rPr>
            </w:pPr>
            <w:r>
              <w:rPr>
                <w:rFonts w:hint="eastAsia" w:ascii="仿宋" w:hAnsi="仿宋" w:eastAsia="仿宋" w:cs="仿宋"/>
                <w:color w:val="auto"/>
                <w:vertAlign w:val="baseline"/>
              </w:rPr>
              <w:t>按供应商提供的技术方案分档计分:方案详细阐述项目的业务需求、实施目标，对隐患排查治理、安全管理体系、相关咨询等业务知识有较深刻的分析与理解，层次清楚、构架科学合理、认识全面，计10分;针对本项目提出的方案完整，层次较清楚，构架合理，容易理解的，计7分;针对本项目提出的方案完整，层次一般，构架一般，理解认识一般，计4分;服务方案内容不全或缺项的、内容不清晰、理解有偏差、或方案缺项的计0分。</w:t>
            </w:r>
          </w:p>
        </w:tc>
        <w:tc>
          <w:tcPr>
            <w:tcW w:w="1546" w:type="dxa"/>
          </w:tcPr>
          <w:p w14:paraId="78566517">
            <w:pPr>
              <w:pStyle w:val="24"/>
              <w:jc w:val="center"/>
              <w:rPr>
                <w:rFonts w:hint="eastAsia" w:ascii="仿宋" w:hAnsi="仿宋" w:eastAsia="仿宋" w:cs="仿宋"/>
                <w:color w:val="auto"/>
                <w:vertAlign w:val="baseline"/>
              </w:rPr>
            </w:pPr>
          </w:p>
        </w:tc>
      </w:tr>
      <w:tr w14:paraId="4B82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trPr>
        <w:tc>
          <w:tcPr>
            <w:tcW w:w="1141" w:type="dxa"/>
            <w:vMerge w:val="continue"/>
            <w:vAlign w:val="center"/>
          </w:tcPr>
          <w:p w14:paraId="7A91AB37">
            <w:pPr>
              <w:pStyle w:val="24"/>
              <w:jc w:val="center"/>
              <w:rPr>
                <w:rFonts w:hint="eastAsia" w:ascii="仿宋" w:hAnsi="仿宋" w:eastAsia="仿宋" w:cs="仿宋"/>
                <w:color w:val="auto"/>
                <w:vertAlign w:val="baseline"/>
              </w:rPr>
            </w:pPr>
          </w:p>
        </w:tc>
        <w:tc>
          <w:tcPr>
            <w:tcW w:w="2250" w:type="dxa"/>
          </w:tcPr>
          <w:p w14:paraId="3E4CC0E5">
            <w:pPr>
              <w:pStyle w:val="24"/>
              <w:jc w:val="center"/>
              <w:rPr>
                <w:rFonts w:hint="eastAsia" w:ascii="仿宋" w:hAnsi="仿宋" w:eastAsia="仿宋" w:cs="仿宋"/>
                <w:color w:val="auto"/>
                <w:vertAlign w:val="baseline"/>
                <w:lang w:val="en-US" w:eastAsia="zh-CN"/>
              </w:rPr>
            </w:pPr>
          </w:p>
          <w:p w14:paraId="10D6A36A">
            <w:pPr>
              <w:pStyle w:val="24"/>
              <w:jc w:val="center"/>
              <w:rPr>
                <w:rFonts w:hint="eastAsia" w:ascii="仿宋" w:hAnsi="仿宋" w:eastAsia="仿宋" w:cs="仿宋"/>
                <w:color w:val="auto"/>
                <w:vertAlign w:val="baseline"/>
                <w:lang w:val="en-US" w:eastAsia="zh-CN"/>
              </w:rPr>
            </w:pPr>
          </w:p>
          <w:p w14:paraId="304C8E7D">
            <w:pPr>
              <w:pStyle w:val="24"/>
              <w:jc w:val="center"/>
              <w:rPr>
                <w:rFonts w:hint="eastAsia" w:ascii="仿宋" w:hAnsi="仿宋" w:eastAsia="仿宋" w:cs="仿宋"/>
                <w:color w:val="auto"/>
                <w:vertAlign w:val="baseline"/>
                <w:lang w:val="en-US" w:eastAsia="zh-CN"/>
              </w:rPr>
            </w:pPr>
          </w:p>
          <w:p w14:paraId="188BA04D">
            <w:pPr>
              <w:pStyle w:val="24"/>
              <w:jc w:val="center"/>
              <w:rPr>
                <w:rFonts w:hint="eastAsia" w:ascii="仿宋" w:hAnsi="仿宋" w:eastAsia="仿宋" w:cs="仿宋"/>
                <w:color w:val="auto"/>
                <w:vertAlign w:val="baseline"/>
                <w:lang w:val="en-US" w:eastAsia="zh-CN"/>
              </w:rPr>
            </w:pPr>
          </w:p>
          <w:p w14:paraId="6102E3B1">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质量保证</w:t>
            </w:r>
          </w:p>
          <w:p w14:paraId="6D22A5F7">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072F2B58">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rPr>
            </w:pPr>
            <w:r>
              <w:rPr>
                <w:rFonts w:hint="eastAsia" w:ascii="仿宋" w:hAnsi="仿宋" w:eastAsia="仿宋" w:cs="仿宋"/>
                <w:color w:val="auto"/>
                <w:vertAlign w:val="baseline"/>
              </w:rPr>
              <w:t>按供应商提供的质量保证措施(专家队</w:t>
            </w:r>
            <w:r>
              <w:rPr>
                <w:rFonts w:hint="eastAsia" w:ascii="仿宋" w:hAnsi="仿宋" w:eastAsia="仿宋" w:cs="仿宋"/>
                <w:color w:val="auto"/>
                <w:vertAlign w:val="baseline"/>
                <w:lang w:val="en-US" w:eastAsia="zh-CN"/>
              </w:rPr>
              <w:t>伍</w:t>
            </w:r>
            <w:r>
              <w:rPr>
                <w:rFonts w:hint="eastAsia" w:ascii="仿宋" w:hAnsi="仿宋" w:eastAsia="仿宋" w:cs="仿宋"/>
                <w:color w:val="auto"/>
                <w:vertAlign w:val="baseline"/>
              </w:rPr>
              <w:t>组建、工作流程、质控制度、协调与配合)分档计分:供应商的质量保证措施很合理、先进、可靠的计10分;质量保证措施较合理、可行的计</w:t>
            </w:r>
            <w:r>
              <w:rPr>
                <w:rFonts w:hint="eastAsia" w:ascii="仿宋" w:hAnsi="仿宋" w:eastAsia="仿宋" w:cs="仿宋"/>
                <w:color w:val="auto"/>
                <w:vertAlign w:val="baseline"/>
                <w:lang w:val="en-US" w:eastAsia="zh-CN"/>
              </w:rPr>
              <w:t>7</w:t>
            </w:r>
            <w:r>
              <w:rPr>
                <w:rFonts w:hint="eastAsia" w:ascii="仿宋" w:hAnsi="仿宋" w:eastAsia="仿宋" w:cs="仿宋"/>
                <w:color w:val="auto"/>
                <w:vertAlign w:val="baseline"/>
              </w:rPr>
              <w:t>分;质量保证措施欠合理不完整的计</w:t>
            </w:r>
            <w:r>
              <w:rPr>
                <w:rFonts w:hint="eastAsia" w:ascii="仿宋" w:hAnsi="仿宋" w:eastAsia="仿宋" w:cs="仿宋"/>
                <w:color w:val="auto"/>
                <w:vertAlign w:val="baseline"/>
                <w:lang w:val="en-US" w:eastAsia="zh-CN"/>
              </w:rPr>
              <w:t>4</w:t>
            </w:r>
            <w:r>
              <w:rPr>
                <w:rFonts w:hint="eastAsia" w:ascii="仿宋" w:hAnsi="仿宋" w:eastAsia="仿宋" w:cs="仿宋"/>
                <w:color w:val="auto"/>
                <w:vertAlign w:val="baseline"/>
              </w:rPr>
              <w:t>分;未提供不计分。</w:t>
            </w:r>
          </w:p>
        </w:tc>
        <w:tc>
          <w:tcPr>
            <w:tcW w:w="1546" w:type="dxa"/>
          </w:tcPr>
          <w:p w14:paraId="1E068372">
            <w:pPr>
              <w:pStyle w:val="24"/>
              <w:jc w:val="center"/>
              <w:rPr>
                <w:rFonts w:hint="eastAsia" w:ascii="仿宋" w:hAnsi="仿宋" w:eastAsia="仿宋" w:cs="仿宋"/>
                <w:color w:val="auto"/>
                <w:vertAlign w:val="baseline"/>
              </w:rPr>
            </w:pPr>
          </w:p>
        </w:tc>
      </w:tr>
      <w:tr w14:paraId="346A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5" w:hRule="atLeast"/>
        </w:trPr>
        <w:tc>
          <w:tcPr>
            <w:tcW w:w="1141" w:type="dxa"/>
            <w:vMerge w:val="continue"/>
            <w:vAlign w:val="center"/>
          </w:tcPr>
          <w:p w14:paraId="10216E48">
            <w:pPr>
              <w:pStyle w:val="24"/>
              <w:jc w:val="center"/>
              <w:rPr>
                <w:rFonts w:hint="eastAsia" w:ascii="仿宋" w:hAnsi="仿宋" w:eastAsia="仿宋" w:cs="仿宋"/>
                <w:color w:val="auto"/>
                <w:vertAlign w:val="baseline"/>
              </w:rPr>
            </w:pPr>
          </w:p>
        </w:tc>
        <w:tc>
          <w:tcPr>
            <w:tcW w:w="2250" w:type="dxa"/>
          </w:tcPr>
          <w:p w14:paraId="2255CE38">
            <w:pPr>
              <w:pStyle w:val="24"/>
              <w:jc w:val="center"/>
              <w:rPr>
                <w:rFonts w:hint="eastAsia" w:ascii="仿宋" w:hAnsi="仿宋" w:eastAsia="仿宋" w:cs="仿宋"/>
                <w:color w:val="auto"/>
                <w:vertAlign w:val="baseline"/>
                <w:lang w:val="en-US" w:eastAsia="zh-CN"/>
              </w:rPr>
            </w:pPr>
          </w:p>
          <w:p w14:paraId="7FC28052">
            <w:pPr>
              <w:pStyle w:val="24"/>
              <w:jc w:val="center"/>
              <w:rPr>
                <w:rFonts w:hint="eastAsia" w:ascii="仿宋" w:hAnsi="仿宋" w:eastAsia="仿宋" w:cs="仿宋"/>
                <w:color w:val="auto"/>
                <w:vertAlign w:val="baseline"/>
                <w:lang w:val="en-US" w:eastAsia="zh-CN"/>
              </w:rPr>
            </w:pPr>
          </w:p>
          <w:p w14:paraId="0BBA6EF9">
            <w:pPr>
              <w:pStyle w:val="24"/>
              <w:jc w:val="center"/>
              <w:rPr>
                <w:rFonts w:hint="eastAsia" w:ascii="仿宋" w:hAnsi="仿宋" w:eastAsia="仿宋" w:cs="仿宋"/>
                <w:color w:val="auto"/>
                <w:vertAlign w:val="baseline"/>
                <w:lang w:val="en-US" w:eastAsia="zh-CN"/>
              </w:rPr>
            </w:pPr>
          </w:p>
          <w:p w14:paraId="57577AB7">
            <w:pPr>
              <w:pStyle w:val="24"/>
              <w:jc w:val="center"/>
              <w:rPr>
                <w:rFonts w:hint="eastAsia" w:ascii="仿宋" w:hAnsi="仿宋" w:eastAsia="仿宋" w:cs="仿宋"/>
                <w:color w:val="auto"/>
                <w:vertAlign w:val="baseline"/>
                <w:lang w:val="en-US" w:eastAsia="zh-CN"/>
              </w:rPr>
            </w:pPr>
          </w:p>
          <w:p w14:paraId="7EA54EED">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服务承诺</w:t>
            </w:r>
          </w:p>
          <w:p w14:paraId="38063A93">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（10分）</w:t>
            </w:r>
          </w:p>
        </w:tc>
        <w:tc>
          <w:tcPr>
            <w:tcW w:w="3585" w:type="dxa"/>
          </w:tcPr>
          <w:p w14:paraId="12026453">
            <w:pPr>
              <w:pStyle w:val="24"/>
              <w:keepNext w:val="0"/>
              <w:keepLines w:val="0"/>
              <w:pageBreakBefore w:val="0"/>
              <w:kinsoku/>
              <w:wordWrap/>
              <w:overflowPunct/>
              <w:topLinePunct w:val="0"/>
              <w:bidi w:val="0"/>
              <w:snapToGrid/>
              <w:spacing w:line="400" w:lineRule="exact"/>
              <w:ind w:firstLine="480" w:firstLineChars="200"/>
              <w:jc w:val="both"/>
              <w:textAlignment w:val="auto"/>
              <w:rPr>
                <w:rFonts w:hint="eastAsia" w:ascii="仿宋" w:hAnsi="仿宋" w:eastAsia="仿宋" w:cs="仿宋"/>
                <w:color w:val="auto"/>
                <w:vertAlign w:val="baseline"/>
              </w:rPr>
            </w:pPr>
            <w:r>
              <w:rPr>
                <w:rFonts w:hint="eastAsia" w:ascii="仿宋" w:hAnsi="仿宋" w:eastAsia="仿宋" w:cs="仿宋"/>
                <w:color w:val="auto"/>
                <w:vertAlign w:val="baseline"/>
              </w:rPr>
              <w:t>报价人承诺，配备专业力量强，且实施经验充足的团队，对责任范围的工作质量达到要求，工作成果科学严谨。服务承诺科学、详细、具有可行性，计10分;服务承诺完整合理计</w:t>
            </w:r>
            <w:r>
              <w:rPr>
                <w:rFonts w:hint="eastAsia" w:ascii="仿宋" w:hAnsi="仿宋" w:eastAsia="仿宋" w:cs="仿宋"/>
                <w:color w:val="auto"/>
                <w:vertAlign w:val="baseline"/>
                <w:lang w:val="en-US" w:eastAsia="zh-CN"/>
              </w:rPr>
              <w:t>7</w:t>
            </w:r>
            <w:r>
              <w:rPr>
                <w:rFonts w:hint="eastAsia" w:ascii="仿宋" w:hAnsi="仿宋" w:eastAsia="仿宋" w:cs="仿宋"/>
                <w:color w:val="auto"/>
                <w:vertAlign w:val="baseline"/>
              </w:rPr>
              <w:t>分;</w:t>
            </w:r>
            <w:r>
              <w:rPr>
                <w:rFonts w:hint="eastAsia" w:ascii="仿宋" w:hAnsi="仿宋" w:eastAsia="仿宋" w:cs="仿宋"/>
                <w:color w:val="auto"/>
                <w:vertAlign w:val="baseline"/>
                <w:lang w:val="en-US" w:eastAsia="zh-CN"/>
              </w:rPr>
              <w:t>服务承诺不完整计4分，</w:t>
            </w:r>
            <w:r>
              <w:rPr>
                <w:rFonts w:hint="eastAsia" w:ascii="仿宋" w:hAnsi="仿宋" w:eastAsia="仿宋" w:cs="仿宋"/>
                <w:color w:val="auto"/>
                <w:vertAlign w:val="baseline"/>
              </w:rPr>
              <w:t>未提供服务承诺不计</w:t>
            </w:r>
            <w:r>
              <w:rPr>
                <w:rFonts w:hint="eastAsia" w:ascii="仿宋" w:hAnsi="仿宋" w:eastAsia="仿宋" w:cs="仿宋"/>
                <w:color w:val="auto"/>
                <w:vertAlign w:val="baseline"/>
                <w:lang w:val="en-US" w:eastAsia="zh-CN"/>
              </w:rPr>
              <w:t>分。</w:t>
            </w:r>
          </w:p>
        </w:tc>
        <w:tc>
          <w:tcPr>
            <w:tcW w:w="1546" w:type="dxa"/>
          </w:tcPr>
          <w:p w14:paraId="3030AA5E">
            <w:pPr>
              <w:pStyle w:val="24"/>
              <w:jc w:val="center"/>
              <w:rPr>
                <w:rFonts w:hint="eastAsia" w:ascii="仿宋" w:hAnsi="仿宋" w:eastAsia="仿宋" w:cs="仿宋"/>
                <w:color w:val="auto"/>
                <w:vertAlign w:val="baseline"/>
              </w:rPr>
            </w:pPr>
          </w:p>
        </w:tc>
      </w:tr>
      <w:tr w14:paraId="6A87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1" w:type="dxa"/>
            <w:shd w:val="clear" w:color="auto" w:fill="auto"/>
            <w:vAlign w:val="center"/>
          </w:tcPr>
          <w:p w14:paraId="121FEEB3">
            <w:pPr>
              <w:pStyle w:val="24"/>
              <w:jc w:val="center"/>
              <w:rPr>
                <w:rFonts w:hint="eastAsia" w:ascii="仿宋" w:hAnsi="仿宋" w:eastAsia="仿宋" w:cs="仿宋"/>
                <w:color w:val="auto"/>
                <w:kern w:val="2"/>
                <w:sz w:val="24"/>
                <w:szCs w:val="24"/>
                <w:vertAlign w:val="baseline"/>
                <w:lang w:val="en-US" w:eastAsia="zh-CN" w:bidi="ar-SA"/>
              </w:rPr>
            </w:pPr>
          </w:p>
          <w:p w14:paraId="5C116552">
            <w:pPr>
              <w:pStyle w:val="24"/>
              <w:jc w:val="center"/>
              <w:rPr>
                <w:rFonts w:hint="eastAsia" w:ascii="仿宋" w:hAnsi="仿宋" w:eastAsia="仿宋" w:cs="仿宋"/>
                <w:color w:val="auto"/>
                <w:kern w:val="2"/>
                <w:sz w:val="24"/>
                <w:szCs w:val="24"/>
                <w:vertAlign w:val="baseline"/>
                <w:lang w:val="en-US" w:eastAsia="zh-CN" w:bidi="ar-SA"/>
              </w:rPr>
            </w:pPr>
          </w:p>
          <w:p w14:paraId="2839A614">
            <w:pPr>
              <w:pStyle w:val="24"/>
              <w:jc w:val="center"/>
              <w:rPr>
                <w:rFonts w:hint="eastAsia" w:ascii="仿宋" w:hAnsi="仿宋" w:eastAsia="仿宋" w:cs="仿宋"/>
                <w:color w:val="auto"/>
                <w:kern w:val="2"/>
                <w:sz w:val="24"/>
                <w:szCs w:val="24"/>
                <w:vertAlign w:val="baseline"/>
                <w:lang w:val="en-US" w:eastAsia="zh-CN" w:bidi="ar-SA"/>
              </w:rPr>
            </w:pPr>
          </w:p>
          <w:p w14:paraId="65A2198E">
            <w:pPr>
              <w:pStyle w:val="24"/>
              <w:jc w:val="center"/>
              <w:rPr>
                <w:rFonts w:hint="eastAsia" w:ascii="仿宋" w:hAnsi="仿宋" w:eastAsia="仿宋" w:cs="仿宋"/>
                <w:color w:val="auto"/>
                <w:kern w:val="2"/>
                <w:sz w:val="24"/>
                <w:szCs w:val="24"/>
                <w:vertAlign w:val="baseline"/>
                <w:lang w:val="en-US" w:eastAsia="zh-CN" w:bidi="ar-SA"/>
              </w:rPr>
            </w:pPr>
          </w:p>
          <w:p w14:paraId="2FAB48C4">
            <w:pPr>
              <w:pStyle w:val="24"/>
              <w:jc w:val="center"/>
              <w:rPr>
                <w:rFonts w:hint="eastAsia" w:ascii="仿宋" w:hAnsi="仿宋" w:eastAsia="仿宋" w:cs="仿宋"/>
                <w:color w:val="auto"/>
                <w:kern w:val="2"/>
                <w:sz w:val="24"/>
                <w:szCs w:val="24"/>
                <w:vertAlign w:val="baseline"/>
                <w:lang w:val="en-US" w:eastAsia="zh-CN" w:bidi="ar-SA"/>
              </w:rPr>
            </w:pPr>
          </w:p>
          <w:p w14:paraId="42410E93">
            <w:pPr>
              <w:pStyle w:val="24"/>
              <w:jc w:val="center"/>
              <w:rPr>
                <w:rFonts w:hint="eastAsia" w:ascii="仿宋" w:hAnsi="仿宋" w:eastAsia="仿宋" w:cs="仿宋"/>
                <w:color w:val="auto"/>
                <w:kern w:val="2"/>
                <w:sz w:val="24"/>
                <w:szCs w:val="24"/>
                <w:vertAlign w:val="baseline"/>
                <w:lang w:val="en-US" w:eastAsia="zh-CN" w:bidi="ar-SA"/>
              </w:rPr>
            </w:pPr>
          </w:p>
          <w:p w14:paraId="47A2D1F7">
            <w:pPr>
              <w:pStyle w:val="24"/>
              <w:jc w:val="center"/>
              <w:rPr>
                <w:rFonts w:hint="eastAsia" w:ascii="仿宋" w:hAnsi="仿宋" w:eastAsia="仿宋" w:cs="仿宋"/>
                <w:color w:val="auto"/>
                <w:kern w:val="2"/>
                <w:sz w:val="24"/>
                <w:szCs w:val="24"/>
                <w:vertAlign w:val="baseline"/>
                <w:lang w:val="en-US" w:eastAsia="zh-CN" w:bidi="ar-SA"/>
              </w:rPr>
            </w:pPr>
          </w:p>
          <w:p w14:paraId="370397C9">
            <w:pPr>
              <w:pStyle w:val="24"/>
              <w:jc w:val="center"/>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kern w:val="2"/>
                <w:sz w:val="24"/>
                <w:szCs w:val="24"/>
                <w:vertAlign w:val="baseline"/>
                <w:lang w:val="en-US" w:eastAsia="zh-CN" w:bidi="ar-SA"/>
              </w:rPr>
              <w:t>报价</w:t>
            </w:r>
          </w:p>
          <w:p w14:paraId="3AAA983C">
            <w:pPr>
              <w:pStyle w:val="24"/>
              <w:jc w:val="center"/>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kern w:val="2"/>
                <w:sz w:val="24"/>
                <w:szCs w:val="24"/>
                <w:vertAlign w:val="baseline"/>
                <w:lang w:val="en-US" w:eastAsia="zh-CN" w:bidi="ar-SA"/>
              </w:rPr>
              <w:t>部分</w:t>
            </w:r>
          </w:p>
          <w:p w14:paraId="134610E1">
            <w:pPr>
              <w:pStyle w:val="24"/>
              <w:jc w:val="center"/>
              <w:rPr>
                <w:rFonts w:hint="default" w:ascii="仿宋" w:hAnsi="仿宋" w:eastAsia="仿宋" w:cs="仿宋"/>
                <w:color w:val="auto"/>
                <w:kern w:val="2"/>
                <w:sz w:val="24"/>
                <w:szCs w:val="24"/>
                <w:vertAlign w:val="baseline"/>
                <w:lang w:val="en-US" w:eastAsia="zh-CN" w:bidi="ar-SA"/>
              </w:rPr>
            </w:pPr>
            <w:r>
              <w:rPr>
                <w:rFonts w:hint="eastAsia" w:ascii="仿宋" w:hAnsi="仿宋" w:eastAsia="仿宋" w:cs="仿宋"/>
                <w:color w:val="auto"/>
                <w:kern w:val="2"/>
                <w:sz w:val="24"/>
                <w:szCs w:val="24"/>
                <w:vertAlign w:val="baseline"/>
                <w:lang w:val="en-US" w:eastAsia="zh-CN" w:bidi="ar-SA"/>
              </w:rPr>
              <w:t>（30分）</w:t>
            </w:r>
          </w:p>
        </w:tc>
        <w:tc>
          <w:tcPr>
            <w:tcW w:w="2250" w:type="dxa"/>
            <w:shd w:val="clear" w:color="auto" w:fill="auto"/>
            <w:vAlign w:val="top"/>
          </w:tcPr>
          <w:p w14:paraId="7F5CE0DF">
            <w:pPr>
              <w:pStyle w:val="24"/>
              <w:jc w:val="center"/>
              <w:rPr>
                <w:rFonts w:hint="eastAsia" w:ascii="仿宋" w:hAnsi="仿宋" w:eastAsia="仿宋" w:cs="仿宋"/>
                <w:color w:val="auto"/>
                <w:vertAlign w:val="baseline"/>
                <w:lang w:val="en-US" w:eastAsia="zh-CN"/>
              </w:rPr>
            </w:pPr>
          </w:p>
          <w:p w14:paraId="0118CCC8">
            <w:pPr>
              <w:pStyle w:val="24"/>
              <w:jc w:val="center"/>
              <w:rPr>
                <w:rFonts w:hint="eastAsia" w:ascii="仿宋" w:hAnsi="仿宋" w:eastAsia="仿宋" w:cs="仿宋"/>
                <w:color w:val="auto"/>
                <w:vertAlign w:val="baseline"/>
                <w:lang w:val="en-US" w:eastAsia="zh-CN"/>
              </w:rPr>
            </w:pPr>
          </w:p>
          <w:p w14:paraId="3FCC2689">
            <w:pPr>
              <w:pStyle w:val="24"/>
              <w:jc w:val="center"/>
              <w:rPr>
                <w:rFonts w:hint="eastAsia" w:ascii="仿宋" w:hAnsi="仿宋" w:eastAsia="仿宋" w:cs="仿宋"/>
                <w:color w:val="auto"/>
                <w:vertAlign w:val="baseline"/>
                <w:lang w:val="en-US" w:eastAsia="zh-CN"/>
              </w:rPr>
            </w:pPr>
          </w:p>
          <w:p w14:paraId="5DC7D752">
            <w:pPr>
              <w:pStyle w:val="24"/>
              <w:jc w:val="center"/>
              <w:rPr>
                <w:rFonts w:hint="eastAsia" w:ascii="仿宋" w:hAnsi="仿宋" w:eastAsia="仿宋" w:cs="仿宋"/>
                <w:color w:val="auto"/>
                <w:vertAlign w:val="baseline"/>
                <w:lang w:val="en-US" w:eastAsia="zh-CN"/>
              </w:rPr>
            </w:pPr>
          </w:p>
          <w:p w14:paraId="435BAE4C">
            <w:pPr>
              <w:pStyle w:val="24"/>
              <w:jc w:val="center"/>
              <w:rPr>
                <w:rFonts w:hint="eastAsia" w:ascii="仿宋" w:hAnsi="仿宋" w:eastAsia="仿宋" w:cs="仿宋"/>
                <w:color w:val="auto"/>
                <w:vertAlign w:val="baseline"/>
                <w:lang w:val="en-US" w:eastAsia="zh-CN"/>
              </w:rPr>
            </w:pPr>
          </w:p>
          <w:p w14:paraId="4D29016E">
            <w:pPr>
              <w:pStyle w:val="24"/>
              <w:jc w:val="center"/>
              <w:rPr>
                <w:rFonts w:hint="eastAsia" w:ascii="仿宋" w:hAnsi="仿宋" w:eastAsia="仿宋" w:cs="仿宋"/>
                <w:color w:val="auto"/>
                <w:vertAlign w:val="baseline"/>
                <w:lang w:val="en-US" w:eastAsia="zh-CN"/>
              </w:rPr>
            </w:pPr>
          </w:p>
          <w:p w14:paraId="385654A6">
            <w:pPr>
              <w:pStyle w:val="24"/>
              <w:jc w:val="center"/>
              <w:rPr>
                <w:rFonts w:hint="eastAsia" w:ascii="仿宋" w:hAnsi="仿宋" w:eastAsia="仿宋" w:cs="仿宋"/>
                <w:color w:val="auto"/>
                <w:vertAlign w:val="baseline"/>
                <w:lang w:val="en-US" w:eastAsia="zh-CN"/>
              </w:rPr>
            </w:pPr>
          </w:p>
          <w:p w14:paraId="7811431B">
            <w:pPr>
              <w:pStyle w:val="24"/>
              <w:jc w:val="center"/>
              <w:rPr>
                <w:rFonts w:hint="eastAsia" w:ascii="仿宋" w:hAnsi="仿宋" w:eastAsia="仿宋" w:cs="仿宋"/>
                <w:color w:val="auto"/>
                <w:vertAlign w:val="baseline"/>
                <w:lang w:val="en-US" w:eastAsia="zh-CN"/>
              </w:rPr>
            </w:pPr>
          </w:p>
          <w:p w14:paraId="75A55C61">
            <w:pPr>
              <w:pStyle w:val="24"/>
              <w:jc w:val="center"/>
              <w:rPr>
                <w:rFonts w:hint="eastAsia"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方案报价</w:t>
            </w:r>
          </w:p>
          <w:p w14:paraId="07A72D3D">
            <w:pPr>
              <w:pStyle w:val="24"/>
              <w:jc w:val="center"/>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color w:val="auto"/>
                <w:vertAlign w:val="baseline"/>
                <w:lang w:val="en-US" w:eastAsia="zh-CN"/>
              </w:rPr>
              <w:t>（30分）</w:t>
            </w:r>
          </w:p>
        </w:tc>
        <w:tc>
          <w:tcPr>
            <w:tcW w:w="3585" w:type="dxa"/>
          </w:tcPr>
          <w:p w14:paraId="62CBB397">
            <w:pPr>
              <w:keepNext w:val="0"/>
              <w:keepLines w:val="0"/>
              <w:pageBreakBefore w:val="0"/>
              <w:widowControl/>
              <w:kinsoku/>
              <w:wordWrap/>
              <w:overflowPunct/>
              <w:topLinePunct w:val="0"/>
              <w:bidi w:val="0"/>
              <w:snapToGrid/>
              <w:spacing w:line="40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评标委员会对符合性评审、资格评审合格的参选人的有效投标报价平均数确定评标基准价，得出经评审的最终评标基准价，基准价计算公式：</w:t>
            </w:r>
          </w:p>
          <w:p w14:paraId="4FFA87C6">
            <w:pPr>
              <w:keepNext w:val="0"/>
              <w:keepLines w:val="0"/>
              <w:pageBreakBefore w:val="0"/>
              <w:widowControl/>
              <w:kinsoku/>
              <w:wordWrap/>
              <w:overflowPunct/>
              <w:topLinePunct w:val="0"/>
              <w:bidi w:val="0"/>
              <w:snapToGrid/>
              <w:spacing w:line="40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 xml:space="preserve">S=（S1+S2+……Si-1+Si）／n  </w:t>
            </w:r>
          </w:p>
          <w:p w14:paraId="69D16006">
            <w:pPr>
              <w:keepNext w:val="0"/>
              <w:keepLines w:val="0"/>
              <w:pageBreakBefore w:val="0"/>
              <w:widowControl/>
              <w:kinsoku/>
              <w:wordWrap/>
              <w:overflowPunct/>
              <w:topLinePunct w:val="0"/>
              <w:bidi w:val="0"/>
              <w:snapToGrid/>
              <w:spacing w:line="40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式中 S—— 评标基准价；</w:t>
            </w:r>
          </w:p>
          <w:p w14:paraId="62F989D7">
            <w:pPr>
              <w:keepNext w:val="0"/>
              <w:keepLines w:val="0"/>
              <w:pageBreakBefore w:val="0"/>
              <w:widowControl/>
              <w:kinsoku/>
              <w:wordWrap/>
              <w:overflowPunct/>
              <w:topLinePunct w:val="0"/>
              <w:bidi w:val="0"/>
              <w:snapToGrid/>
              <w:spacing w:line="400" w:lineRule="exact"/>
              <w:ind w:left="420" w:leftChars="200" w:firstLine="0" w:firstLineChars="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Si—— 进入基准价计算的合格参选人的有效报价 (i=1,2,…,n);</w:t>
            </w:r>
          </w:p>
          <w:p w14:paraId="765B20BF">
            <w:pPr>
              <w:keepNext w:val="0"/>
              <w:keepLines w:val="0"/>
              <w:pageBreakBefore w:val="0"/>
              <w:widowControl/>
              <w:kinsoku/>
              <w:wordWrap/>
              <w:overflowPunct/>
              <w:topLinePunct w:val="0"/>
              <w:bidi w:val="0"/>
              <w:snapToGrid/>
              <w:spacing w:line="40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n——进入基准价计算的合格参选人有效报价个数。</w:t>
            </w:r>
          </w:p>
          <w:p w14:paraId="696E07D1">
            <w:pPr>
              <w:keepNext w:val="0"/>
              <w:keepLines w:val="0"/>
              <w:pageBreakBefore w:val="0"/>
              <w:widowControl/>
              <w:kinsoku/>
              <w:wordWrap/>
              <w:overflowPunct/>
              <w:topLinePunct w:val="0"/>
              <w:bidi w:val="0"/>
              <w:snapToGrid/>
              <w:spacing w:line="400" w:lineRule="exact"/>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投标报价的偏差率X计算公式：偏差率=</w:t>
            </w:r>
            <w:r>
              <w:rPr>
                <w:rFonts w:hint="eastAsia" w:ascii="仿宋" w:hAnsi="仿宋" w:eastAsia="仿宋" w:cs="仿宋"/>
                <w:b/>
                <w:bCs/>
                <w:kern w:val="0"/>
                <w:sz w:val="24"/>
                <w:szCs w:val="24"/>
                <w:lang w:val="en-US" w:eastAsia="zh-CN"/>
              </w:rPr>
              <w:t>|</w:t>
            </w:r>
            <w:r>
              <w:rPr>
                <w:rFonts w:hint="eastAsia" w:ascii="仿宋" w:hAnsi="仿宋" w:eastAsia="仿宋" w:cs="仿宋"/>
                <w:kern w:val="0"/>
                <w:sz w:val="24"/>
                <w:szCs w:val="24"/>
                <w:lang w:val="en-US" w:eastAsia="zh-CN"/>
              </w:rPr>
              <w:t>(参选人报价一评标基准价)</w:t>
            </w:r>
            <w:r>
              <w:rPr>
                <w:rFonts w:hint="eastAsia" w:ascii="仿宋" w:hAnsi="仿宋" w:eastAsia="仿宋" w:cs="仿宋"/>
                <w:b/>
                <w:bCs/>
                <w:kern w:val="0"/>
                <w:sz w:val="24"/>
                <w:szCs w:val="24"/>
                <w:lang w:val="en-US" w:eastAsia="zh-CN"/>
              </w:rPr>
              <w:t>|</w:t>
            </w:r>
            <w:r>
              <w:rPr>
                <w:rFonts w:hint="eastAsia" w:ascii="仿宋" w:hAnsi="仿宋" w:eastAsia="仿宋" w:cs="仿宋"/>
                <w:kern w:val="0"/>
                <w:sz w:val="24"/>
                <w:szCs w:val="24"/>
                <w:lang w:val="en-US" w:eastAsia="zh-CN"/>
              </w:rPr>
              <w:t>/评标基准价×100%。</w:t>
            </w:r>
          </w:p>
          <w:p w14:paraId="1ABB21EB">
            <w:pPr>
              <w:pStyle w:val="24"/>
              <w:keepNext w:val="0"/>
              <w:keepLines w:val="0"/>
              <w:pageBreakBefore w:val="0"/>
              <w:kinsoku/>
              <w:wordWrap/>
              <w:overflowPunct/>
              <w:topLinePunct w:val="0"/>
              <w:bidi w:val="0"/>
              <w:snapToGrid/>
              <w:spacing w:line="400" w:lineRule="exact"/>
              <w:jc w:val="both"/>
              <w:textAlignment w:val="auto"/>
              <w:rPr>
                <w:rFonts w:hint="default" w:ascii="仿宋" w:hAnsi="仿宋" w:eastAsia="仿宋" w:cs="仿宋"/>
                <w:color w:val="auto"/>
                <w:vertAlign w:val="baseline"/>
                <w:lang w:val="en-US" w:eastAsia="zh-CN"/>
              </w:rPr>
            </w:pPr>
          </w:p>
        </w:tc>
        <w:tc>
          <w:tcPr>
            <w:tcW w:w="1546" w:type="dxa"/>
          </w:tcPr>
          <w:p w14:paraId="19B9BA7B">
            <w:pPr>
              <w:pStyle w:val="24"/>
              <w:jc w:val="center"/>
              <w:rPr>
                <w:rFonts w:hint="eastAsia" w:ascii="仿宋" w:hAnsi="仿宋" w:eastAsia="仿宋" w:cs="仿宋"/>
                <w:color w:val="auto"/>
                <w:vertAlign w:val="baseline"/>
              </w:rPr>
            </w:pPr>
          </w:p>
        </w:tc>
      </w:tr>
    </w:tbl>
    <w:p w14:paraId="1604ED6E">
      <w:pPr>
        <w:pStyle w:val="33"/>
        <w:jc w:val="center"/>
        <w:rPr>
          <w:rFonts w:hint="eastAsia" w:ascii="宋体" w:hAnsi="宋体"/>
          <w:b/>
          <w:sz w:val="32"/>
          <w:szCs w:val="32"/>
        </w:rPr>
      </w:pPr>
    </w:p>
    <w:p w14:paraId="4BC811DE">
      <w:pPr>
        <w:pStyle w:val="33"/>
        <w:jc w:val="center"/>
        <w:rPr>
          <w:rFonts w:hint="eastAsia" w:ascii="宋体" w:hAnsi="宋体"/>
          <w:b/>
          <w:sz w:val="32"/>
          <w:szCs w:val="32"/>
        </w:rPr>
      </w:pPr>
    </w:p>
    <w:p w14:paraId="38A0ED75">
      <w:pPr>
        <w:pStyle w:val="33"/>
        <w:jc w:val="center"/>
        <w:rPr>
          <w:rFonts w:hint="eastAsia" w:ascii="宋体" w:hAnsi="宋体"/>
          <w:b/>
          <w:sz w:val="32"/>
          <w:szCs w:val="32"/>
        </w:rPr>
      </w:pPr>
    </w:p>
    <w:p w14:paraId="19F685BF">
      <w:pPr>
        <w:pStyle w:val="33"/>
        <w:jc w:val="center"/>
        <w:rPr>
          <w:rFonts w:hint="eastAsia" w:ascii="宋体" w:hAnsi="宋体"/>
          <w:b/>
          <w:sz w:val="32"/>
          <w:szCs w:val="32"/>
        </w:rPr>
      </w:pPr>
    </w:p>
    <w:p w14:paraId="6121E3D1">
      <w:pPr>
        <w:pStyle w:val="33"/>
        <w:jc w:val="center"/>
        <w:rPr>
          <w:rFonts w:hint="eastAsia" w:ascii="宋体" w:hAnsi="宋体"/>
          <w:b/>
          <w:sz w:val="32"/>
          <w:szCs w:val="32"/>
        </w:rPr>
      </w:pPr>
    </w:p>
    <w:p w14:paraId="6681E123">
      <w:pPr>
        <w:pStyle w:val="33"/>
        <w:jc w:val="center"/>
        <w:rPr>
          <w:rFonts w:hint="eastAsia" w:ascii="宋体" w:hAnsi="宋体"/>
          <w:b/>
          <w:sz w:val="32"/>
          <w:szCs w:val="32"/>
        </w:rPr>
      </w:pPr>
    </w:p>
    <w:p w14:paraId="0979FD7E">
      <w:pPr>
        <w:pStyle w:val="33"/>
        <w:jc w:val="center"/>
        <w:rPr>
          <w:rFonts w:hint="eastAsia" w:ascii="宋体" w:hAnsi="宋体"/>
          <w:b/>
          <w:sz w:val="32"/>
          <w:szCs w:val="32"/>
        </w:rPr>
      </w:pPr>
    </w:p>
    <w:p w14:paraId="3980E0F4">
      <w:pPr>
        <w:pStyle w:val="33"/>
        <w:jc w:val="center"/>
        <w:rPr>
          <w:rFonts w:hint="eastAsia" w:ascii="宋体" w:hAnsi="宋体"/>
          <w:b/>
          <w:sz w:val="32"/>
          <w:szCs w:val="32"/>
        </w:rPr>
      </w:pPr>
    </w:p>
    <w:p w14:paraId="05DD5AC0">
      <w:pPr>
        <w:rPr>
          <w:rFonts w:hint="eastAsia" w:ascii="宋体" w:hAnsi="宋体"/>
          <w:b/>
          <w:sz w:val="32"/>
          <w:szCs w:val="32"/>
        </w:rPr>
      </w:pPr>
      <w:r>
        <w:rPr>
          <w:rFonts w:hint="eastAsia" w:ascii="宋体" w:hAnsi="宋体"/>
          <w:b/>
          <w:sz w:val="32"/>
          <w:szCs w:val="32"/>
        </w:rPr>
        <w:br w:type="page"/>
      </w:r>
    </w:p>
    <w:p w14:paraId="4AB69CC3">
      <w:pPr>
        <w:pStyle w:val="33"/>
        <w:jc w:val="center"/>
        <w:rPr>
          <w:rFonts w:hint="eastAsia" w:ascii="宋体" w:hAnsi="宋体"/>
          <w:b/>
          <w:sz w:val="32"/>
          <w:szCs w:val="32"/>
        </w:rPr>
      </w:pPr>
    </w:p>
    <w:p w14:paraId="6284EE6C">
      <w:pPr>
        <w:pStyle w:val="33"/>
        <w:jc w:val="center"/>
        <w:rPr>
          <w:rFonts w:ascii="宋体" w:hAnsi="宋体"/>
          <w:b/>
          <w:sz w:val="32"/>
          <w:szCs w:val="32"/>
        </w:rPr>
      </w:pPr>
      <w:r>
        <w:rPr>
          <w:rFonts w:hint="eastAsia" w:ascii="宋体" w:hAnsi="宋体"/>
          <w:b/>
          <w:sz w:val="32"/>
          <w:szCs w:val="32"/>
        </w:rPr>
        <w:t>报价评分标准表（满分</w:t>
      </w:r>
      <w:r>
        <w:rPr>
          <w:rFonts w:hint="eastAsia" w:ascii="宋体" w:hAnsi="宋体"/>
          <w:b/>
          <w:sz w:val="32"/>
          <w:szCs w:val="32"/>
          <w:lang w:val="en-US" w:eastAsia="zh-CN"/>
        </w:rPr>
        <w:t>30</w:t>
      </w:r>
      <w:r>
        <w:rPr>
          <w:rFonts w:hint="eastAsia" w:ascii="宋体" w:hAnsi="宋体"/>
          <w:b/>
          <w:sz w:val="32"/>
          <w:szCs w:val="32"/>
        </w:rPr>
        <w:t>分）</w:t>
      </w:r>
    </w:p>
    <w:p w14:paraId="46335F70">
      <w:pPr>
        <w:spacing w:line="35" w:lineRule="exact"/>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70B45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29AF09FD">
            <w:pPr>
              <w:jc w:val="center"/>
              <w:rPr>
                <w:rFonts w:ascii="仿宋" w:hAnsi="仿宋" w:eastAsia="仿宋" w:cs="仿宋"/>
                <w:szCs w:val="21"/>
              </w:rPr>
            </w:pPr>
            <w:r>
              <w:rPr>
                <w:rFonts w:hint="eastAsia" w:ascii="仿宋" w:hAnsi="仿宋" w:eastAsia="仿宋" w:cs="仿宋"/>
                <w:szCs w:val="21"/>
              </w:rPr>
              <w:t>报</w:t>
            </w:r>
          </w:p>
          <w:p w14:paraId="0CE3D99E">
            <w:pPr>
              <w:jc w:val="center"/>
              <w:rPr>
                <w:rFonts w:ascii="仿宋" w:hAnsi="仿宋" w:eastAsia="仿宋" w:cs="仿宋"/>
                <w:szCs w:val="21"/>
              </w:rPr>
            </w:pPr>
            <w:r>
              <w:rPr>
                <w:rFonts w:hint="eastAsia" w:ascii="仿宋" w:hAnsi="仿宋" w:eastAsia="仿宋" w:cs="仿宋"/>
                <w:szCs w:val="21"/>
              </w:rPr>
              <w:t>价</w:t>
            </w:r>
          </w:p>
          <w:p w14:paraId="377AD13D">
            <w:pPr>
              <w:jc w:val="center"/>
              <w:rPr>
                <w:rFonts w:ascii="仿宋" w:hAnsi="仿宋" w:eastAsia="仿宋" w:cs="仿宋"/>
                <w:szCs w:val="21"/>
              </w:rPr>
            </w:pPr>
            <w:r>
              <w:rPr>
                <w:rFonts w:hint="eastAsia" w:ascii="仿宋" w:hAnsi="仿宋" w:eastAsia="仿宋" w:cs="仿宋"/>
                <w:szCs w:val="21"/>
              </w:rPr>
              <w:t>评</w:t>
            </w:r>
          </w:p>
          <w:p w14:paraId="1CCFC8FB">
            <w:pPr>
              <w:jc w:val="center"/>
              <w:rPr>
                <w:rFonts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2AEAA5AB">
            <w:pPr>
              <w:ind w:firstLine="420"/>
              <w:rPr>
                <w:rFonts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3BE53472">
            <w:pPr>
              <w:ind w:firstLine="420"/>
              <w:rPr>
                <w:rFonts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3C10E9C9">
            <w:pPr>
              <w:ind w:firstLine="420"/>
              <w:rPr>
                <w:rFonts w:ascii="仿宋" w:hAnsi="仿宋" w:eastAsia="仿宋" w:cs="仿宋"/>
                <w:szCs w:val="21"/>
              </w:rPr>
            </w:pPr>
            <w:r>
              <w:rPr>
                <w:rFonts w:hint="eastAsia" w:ascii="仿宋" w:hAnsi="仿宋" w:eastAsia="仿宋" w:cs="仿宋"/>
                <w:szCs w:val="21"/>
              </w:rPr>
              <w:t>备注</w:t>
            </w:r>
          </w:p>
        </w:tc>
      </w:tr>
      <w:tr w14:paraId="63C8D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7A8635C">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7F39DB6A">
            <w:pPr>
              <w:rPr>
                <w:rFonts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642CC3C4">
            <w:pPr>
              <w:ind w:firstLine="420"/>
              <w:rPr>
                <w:rFonts w:ascii="仿宋" w:hAnsi="仿宋" w:eastAsia="仿宋" w:cs="仿宋"/>
                <w:szCs w:val="21"/>
              </w:rPr>
            </w:pPr>
            <w:r>
              <w:rPr>
                <w:rFonts w:hint="eastAsia" w:ascii="仿宋" w:hAnsi="仿宋" w:eastAsia="仿宋" w:cs="仿宋"/>
                <w:szCs w:val="21"/>
                <w:lang w:val="en-US" w:eastAsia="zh-CN"/>
              </w:rPr>
              <w:t>30</w:t>
            </w:r>
            <w:r>
              <w:rPr>
                <w:rFonts w:hint="eastAsia" w:ascii="仿宋" w:hAnsi="仿宋" w:eastAsia="仿宋" w:cs="仿宋"/>
                <w:szCs w:val="21"/>
              </w:rPr>
              <w:t>-</w:t>
            </w:r>
            <w:r>
              <w:rPr>
                <w:rFonts w:hint="eastAsia" w:ascii="仿宋" w:hAnsi="仿宋" w:eastAsia="仿宋" w:cs="仿宋"/>
                <w:szCs w:val="21"/>
                <w:lang w:val="en-US" w:eastAsia="zh-CN"/>
              </w:rPr>
              <w:t>30</w:t>
            </w:r>
            <w:r>
              <w:rPr>
                <w:rFonts w:hint="eastAsia" w:ascii="仿宋" w:hAnsi="仿宋" w:eastAsia="仿宋" w:cs="仿宋"/>
                <w:szCs w:val="21"/>
              </w:rPr>
              <w:t>X</w:t>
            </w:r>
          </w:p>
        </w:tc>
        <w:tc>
          <w:tcPr>
            <w:tcW w:w="3169" w:type="dxa"/>
            <w:vMerge w:val="restart"/>
            <w:tcBorders>
              <w:top w:val="single" w:color="auto" w:sz="4" w:space="0"/>
              <w:left w:val="single" w:color="auto" w:sz="4" w:space="0"/>
            </w:tcBorders>
            <w:vAlign w:val="center"/>
          </w:tcPr>
          <w:p w14:paraId="3C768BD7">
            <w:pPr>
              <w:ind w:firstLine="420"/>
              <w:rPr>
                <w:rFonts w:ascii="仿宋" w:hAnsi="仿宋" w:eastAsia="仿宋" w:cs="仿宋"/>
                <w:szCs w:val="21"/>
              </w:rPr>
            </w:pPr>
            <w:r>
              <w:rPr>
                <w:rFonts w:hint="eastAsia" w:ascii="仿宋" w:hAnsi="仿宋" w:eastAsia="仿宋" w:cs="仿宋"/>
                <w:szCs w:val="21"/>
              </w:rPr>
              <w:t>X为最终投标价升、降率百分点数的绝对值，即：▏（最终投标价－基准价）/（基准价）▏*100%</w:t>
            </w:r>
          </w:p>
        </w:tc>
      </w:tr>
      <w:tr w14:paraId="6EEE4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04EC082">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7E0D42BE">
            <w:pPr>
              <w:rPr>
                <w:rFonts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2450B093">
            <w:pPr>
              <w:ind w:firstLine="420"/>
              <w:rPr>
                <w:rFonts w:ascii="仿宋" w:hAnsi="仿宋" w:eastAsia="仿宋" w:cs="仿宋"/>
                <w:szCs w:val="21"/>
              </w:rPr>
            </w:pPr>
            <w:r>
              <w:rPr>
                <w:rFonts w:hint="eastAsia" w:ascii="仿宋" w:hAnsi="仿宋" w:eastAsia="仿宋" w:cs="仿宋"/>
                <w:szCs w:val="21"/>
                <w:lang w:val="en-US" w:eastAsia="zh-CN"/>
              </w:rPr>
              <w:t>30</w:t>
            </w:r>
            <w:r>
              <w:rPr>
                <w:rFonts w:hint="eastAsia" w:ascii="仿宋" w:hAnsi="仿宋" w:eastAsia="仿宋" w:cs="仿宋"/>
                <w:szCs w:val="21"/>
              </w:rPr>
              <w:t>分</w:t>
            </w:r>
          </w:p>
        </w:tc>
        <w:tc>
          <w:tcPr>
            <w:tcW w:w="3169" w:type="dxa"/>
            <w:vMerge w:val="continue"/>
            <w:tcBorders>
              <w:left w:val="single" w:color="auto" w:sz="4" w:space="0"/>
            </w:tcBorders>
            <w:vAlign w:val="center"/>
          </w:tcPr>
          <w:p w14:paraId="52AA6B0E">
            <w:pPr>
              <w:ind w:firstLine="420"/>
              <w:rPr>
                <w:rFonts w:ascii="仿宋" w:hAnsi="仿宋" w:eastAsia="仿宋" w:cs="仿宋"/>
                <w:szCs w:val="21"/>
              </w:rPr>
            </w:pPr>
          </w:p>
        </w:tc>
      </w:tr>
      <w:tr w14:paraId="5917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F157DF5">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2DB569CB">
            <w:pPr>
              <w:rPr>
                <w:rFonts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1B5BE922">
            <w:pPr>
              <w:ind w:firstLine="420"/>
              <w:rPr>
                <w:rFonts w:ascii="仿宋" w:hAnsi="仿宋" w:eastAsia="仿宋" w:cs="仿宋"/>
                <w:szCs w:val="21"/>
              </w:rPr>
            </w:pPr>
            <w:r>
              <w:rPr>
                <w:rFonts w:hint="eastAsia" w:ascii="仿宋" w:hAnsi="仿宋" w:eastAsia="仿宋" w:cs="仿宋"/>
                <w:szCs w:val="21"/>
                <w:lang w:val="en-US" w:eastAsia="zh-CN"/>
              </w:rPr>
              <w:t>30</w:t>
            </w:r>
            <w:r>
              <w:rPr>
                <w:rFonts w:hint="eastAsia" w:ascii="仿宋" w:hAnsi="仿宋" w:eastAsia="仿宋" w:cs="仿宋"/>
                <w:szCs w:val="21"/>
              </w:rPr>
              <w:t>-</w:t>
            </w:r>
            <w:r>
              <w:rPr>
                <w:rFonts w:hint="eastAsia" w:ascii="仿宋" w:hAnsi="仿宋" w:eastAsia="仿宋" w:cs="仿宋"/>
                <w:szCs w:val="21"/>
                <w:lang w:val="en-US" w:eastAsia="zh-CN"/>
              </w:rPr>
              <w:t>30</w:t>
            </w:r>
            <w:r>
              <w:rPr>
                <w:rFonts w:hint="eastAsia" w:ascii="仿宋" w:hAnsi="仿宋" w:eastAsia="仿宋" w:cs="仿宋"/>
                <w:szCs w:val="21"/>
              </w:rPr>
              <w:t>X</w:t>
            </w:r>
          </w:p>
        </w:tc>
        <w:tc>
          <w:tcPr>
            <w:tcW w:w="3169" w:type="dxa"/>
            <w:vMerge w:val="continue"/>
            <w:tcBorders>
              <w:left w:val="single" w:color="auto" w:sz="4" w:space="0"/>
              <w:bottom w:val="single" w:color="auto" w:sz="4" w:space="0"/>
            </w:tcBorders>
            <w:vAlign w:val="center"/>
          </w:tcPr>
          <w:p w14:paraId="7786C3F3">
            <w:pPr>
              <w:ind w:firstLine="420"/>
              <w:rPr>
                <w:rFonts w:ascii="仿宋" w:hAnsi="仿宋" w:eastAsia="仿宋" w:cs="仿宋"/>
                <w:szCs w:val="21"/>
              </w:rPr>
            </w:pPr>
          </w:p>
        </w:tc>
      </w:tr>
      <w:tr w14:paraId="35BB5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5" w:hRule="exact"/>
          <w:jc w:val="center"/>
        </w:trPr>
        <w:tc>
          <w:tcPr>
            <w:tcW w:w="959" w:type="dxa"/>
            <w:vMerge w:val="continue"/>
            <w:vAlign w:val="center"/>
          </w:tcPr>
          <w:p w14:paraId="6CF3D5AE">
            <w:pPr>
              <w:ind w:firstLine="420"/>
              <w:jc w:val="center"/>
              <w:rPr>
                <w:rFonts w:ascii="仿宋" w:hAnsi="仿宋" w:eastAsia="仿宋" w:cs="仿宋"/>
                <w:szCs w:val="21"/>
              </w:rPr>
            </w:pPr>
          </w:p>
        </w:tc>
        <w:tc>
          <w:tcPr>
            <w:tcW w:w="7563" w:type="dxa"/>
            <w:gridSpan w:val="3"/>
            <w:tcBorders>
              <w:top w:val="single" w:color="auto" w:sz="4" w:space="0"/>
            </w:tcBorders>
            <w:vAlign w:val="center"/>
          </w:tcPr>
          <w:p w14:paraId="36AE8F71">
            <w:pPr>
              <w:ind w:firstLine="420"/>
              <w:rPr>
                <w:rFonts w:ascii="仿宋" w:hAnsi="仿宋" w:eastAsia="仿宋" w:cs="仿宋"/>
                <w:szCs w:val="21"/>
              </w:rPr>
            </w:pPr>
            <w:r>
              <w:rPr>
                <w:rFonts w:hint="eastAsia" w:ascii="仿宋" w:hAnsi="仿宋" w:eastAsia="仿宋" w:cs="仿宋"/>
                <w:szCs w:val="21"/>
              </w:rPr>
              <w:t>备注：</w:t>
            </w:r>
          </w:p>
          <w:p w14:paraId="3875A329">
            <w:pPr>
              <w:ind w:firstLine="420"/>
              <w:rPr>
                <w:rFonts w:ascii="仿宋" w:hAnsi="仿宋" w:eastAsia="仿宋" w:cs="仿宋"/>
                <w:szCs w:val="21"/>
              </w:rPr>
            </w:pPr>
            <w:r>
              <w:rPr>
                <w:rFonts w:hint="eastAsia" w:ascii="仿宋" w:hAnsi="仿宋" w:eastAsia="仿宋" w:cs="仿宋"/>
                <w:szCs w:val="21"/>
              </w:rPr>
              <w:t>1.所有有效参选单位的投标报价进入最终投标价的算术平均。</w:t>
            </w:r>
          </w:p>
          <w:p w14:paraId="219CF66F">
            <w:pPr>
              <w:ind w:firstLine="420"/>
              <w:rPr>
                <w:rFonts w:ascii="仿宋" w:hAnsi="仿宋" w:eastAsia="仿宋" w:cs="仿宋"/>
                <w:szCs w:val="21"/>
              </w:rPr>
            </w:pPr>
            <w:r>
              <w:rPr>
                <w:rFonts w:hint="eastAsia" w:ascii="仿宋" w:hAnsi="仿宋" w:eastAsia="仿宋" w:cs="仿宋"/>
                <w:szCs w:val="21"/>
              </w:rPr>
              <w:t>2. 基准价公式:</w:t>
            </w:r>
          </w:p>
          <w:p w14:paraId="5D20E508">
            <w:pPr>
              <w:ind w:firstLine="420"/>
              <w:rPr>
                <w:rFonts w:ascii="仿宋" w:hAnsi="仿宋" w:eastAsia="仿宋" w:cs="仿宋"/>
                <w:szCs w:val="21"/>
              </w:rPr>
            </w:pPr>
            <w:r>
              <w:rPr>
                <w:rFonts w:hint="eastAsia" w:ascii="仿宋" w:hAnsi="仿宋" w:eastAsia="仿宋" w:cs="仿宋"/>
                <w:szCs w:val="21"/>
              </w:rPr>
              <w:t>基准价=（A1+A2+……+Ai …… +An)/N</w:t>
            </w:r>
          </w:p>
          <w:p w14:paraId="02450C74">
            <w:pPr>
              <w:ind w:firstLine="420"/>
              <w:rPr>
                <w:rFonts w:ascii="仿宋" w:hAnsi="仿宋" w:eastAsia="仿宋" w:cs="仿宋"/>
                <w:szCs w:val="21"/>
              </w:rPr>
            </w:pPr>
            <w:r>
              <w:rPr>
                <w:rFonts w:hint="eastAsia" w:ascii="仿宋" w:hAnsi="仿宋" w:eastAsia="仿宋" w:cs="仿宋"/>
                <w:szCs w:val="21"/>
              </w:rPr>
              <w:t>i=1...i…n；Ai为进入基准价计算的最终投标价；N为进入基准价计算的最终投标价的个数。</w:t>
            </w:r>
          </w:p>
          <w:p w14:paraId="74D7671D">
            <w:pPr>
              <w:ind w:firstLine="420"/>
              <w:rPr>
                <w:rFonts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6F94F4F9">
            <w:pPr>
              <w:ind w:firstLine="420"/>
              <w:rPr>
                <w:rFonts w:ascii="仿宋" w:hAnsi="仿宋" w:eastAsia="仿宋" w:cs="仿宋"/>
                <w:szCs w:val="21"/>
              </w:rPr>
            </w:pPr>
            <w:r>
              <w:rPr>
                <w:rFonts w:hint="eastAsia" w:ascii="仿宋" w:hAnsi="仿宋" w:eastAsia="仿宋" w:cs="仿宋"/>
                <w:szCs w:val="21"/>
              </w:rPr>
              <w:t>4.该项评标内容计分，由评标委员会按以上规定集体评议确定。</w:t>
            </w:r>
          </w:p>
          <w:p w14:paraId="2022D165">
            <w:pPr>
              <w:ind w:firstLine="420"/>
              <w:rPr>
                <w:rFonts w:ascii="仿宋" w:hAnsi="仿宋" w:eastAsia="仿宋" w:cs="仿宋"/>
                <w:b/>
                <w:szCs w:val="21"/>
              </w:rPr>
            </w:pPr>
            <w:r>
              <w:rPr>
                <w:rFonts w:hint="eastAsia" w:ascii="仿宋" w:hAnsi="仿宋" w:eastAsia="仿宋" w:cs="仿宋"/>
                <w:szCs w:val="21"/>
              </w:rPr>
              <w:t>5.</w:t>
            </w:r>
            <w:r>
              <w:rPr>
                <w:rFonts w:hint="eastAsia" w:ascii="仿宋" w:hAnsi="仿宋" w:eastAsia="仿宋" w:cs="仿宋"/>
                <w:bCs/>
                <w:szCs w:val="21"/>
              </w:rPr>
              <w:t>为防止恶意投标报价，报价最高得分</w:t>
            </w:r>
            <w:r>
              <w:rPr>
                <w:rFonts w:hint="eastAsia" w:ascii="仿宋" w:hAnsi="仿宋" w:eastAsia="仿宋" w:cs="仿宋"/>
                <w:bCs/>
                <w:szCs w:val="21"/>
                <w:lang w:val="en-US" w:eastAsia="zh-CN"/>
              </w:rPr>
              <w:t>30</w:t>
            </w:r>
            <w:r>
              <w:rPr>
                <w:rFonts w:hint="eastAsia" w:ascii="仿宋" w:hAnsi="仿宋" w:eastAsia="仿宋" w:cs="仿宋"/>
                <w:bCs/>
                <w:szCs w:val="21"/>
              </w:rPr>
              <w:t>分，最低为</w:t>
            </w:r>
            <w:r>
              <w:rPr>
                <w:rFonts w:hint="eastAsia" w:ascii="仿宋" w:hAnsi="仿宋" w:eastAsia="仿宋" w:cs="仿宋"/>
                <w:bCs/>
                <w:szCs w:val="21"/>
                <w:lang w:val="en-US" w:eastAsia="zh-CN"/>
              </w:rPr>
              <w:t>15</w:t>
            </w:r>
            <w:r>
              <w:rPr>
                <w:rFonts w:hint="eastAsia" w:ascii="仿宋" w:hAnsi="仿宋" w:eastAsia="仿宋" w:cs="仿宋"/>
                <w:bCs/>
                <w:szCs w:val="21"/>
              </w:rPr>
              <w:t>分。</w:t>
            </w:r>
          </w:p>
        </w:tc>
      </w:tr>
    </w:tbl>
    <w:p w14:paraId="3C2CB345">
      <w:pPr>
        <w:adjustRightInd w:val="0"/>
        <w:snapToGrid w:val="0"/>
        <w:spacing w:line="560" w:lineRule="exact"/>
        <w:jc w:val="both"/>
        <w:rPr>
          <w:rFonts w:hint="eastAsia" w:ascii="仿宋" w:hAnsi="仿宋" w:eastAsia="仿宋" w:cs="仿宋"/>
          <w:bCs/>
          <w:kern w:val="44"/>
          <w:sz w:val="44"/>
          <w:szCs w:val="44"/>
          <w:lang w:val="en-US" w:eastAsia="zh-CN"/>
        </w:rPr>
      </w:pPr>
    </w:p>
    <w:p w14:paraId="5088E381">
      <w:pPr>
        <w:adjustRightInd w:val="0"/>
        <w:snapToGrid w:val="0"/>
        <w:spacing w:line="560" w:lineRule="exact"/>
        <w:jc w:val="center"/>
        <w:rPr>
          <w:rFonts w:hint="eastAsia" w:ascii="仿宋" w:hAnsi="仿宋" w:eastAsia="仿宋" w:cs="仿宋"/>
          <w:bCs/>
          <w:kern w:val="44"/>
          <w:sz w:val="44"/>
          <w:szCs w:val="44"/>
          <w:lang w:val="en-US" w:eastAsia="zh-CN"/>
        </w:rPr>
      </w:pPr>
    </w:p>
    <w:p w14:paraId="6FCA24C0">
      <w:pPr>
        <w:adjustRightInd w:val="0"/>
        <w:snapToGrid w:val="0"/>
        <w:spacing w:line="560" w:lineRule="exact"/>
        <w:jc w:val="center"/>
        <w:rPr>
          <w:rFonts w:hint="eastAsia" w:ascii="仿宋" w:hAnsi="仿宋" w:eastAsia="仿宋" w:cs="仿宋"/>
          <w:bCs/>
          <w:kern w:val="44"/>
          <w:sz w:val="44"/>
          <w:szCs w:val="44"/>
          <w:lang w:val="en-US" w:eastAsia="zh-CN"/>
        </w:rPr>
      </w:pPr>
    </w:p>
    <w:p w14:paraId="2302BBB7">
      <w:pPr>
        <w:adjustRightInd w:val="0"/>
        <w:snapToGrid w:val="0"/>
        <w:spacing w:line="560" w:lineRule="exact"/>
        <w:jc w:val="center"/>
        <w:rPr>
          <w:rFonts w:hint="eastAsia" w:ascii="仿宋" w:hAnsi="仿宋" w:eastAsia="仿宋" w:cs="仿宋"/>
          <w:bCs/>
          <w:kern w:val="44"/>
          <w:sz w:val="44"/>
          <w:szCs w:val="44"/>
          <w:lang w:val="en-US" w:eastAsia="zh-CN"/>
        </w:rPr>
      </w:pPr>
    </w:p>
    <w:p w14:paraId="17B18406">
      <w:pPr>
        <w:adjustRightInd w:val="0"/>
        <w:snapToGrid w:val="0"/>
        <w:spacing w:line="560" w:lineRule="exact"/>
        <w:jc w:val="center"/>
        <w:rPr>
          <w:rFonts w:hint="eastAsia" w:ascii="仿宋" w:hAnsi="仿宋" w:eastAsia="仿宋" w:cs="仿宋"/>
          <w:bCs/>
          <w:kern w:val="44"/>
          <w:sz w:val="44"/>
          <w:szCs w:val="44"/>
          <w:lang w:val="en-US" w:eastAsia="zh-CN"/>
        </w:rPr>
      </w:pPr>
    </w:p>
    <w:p w14:paraId="0BE354FF">
      <w:pPr>
        <w:adjustRightInd w:val="0"/>
        <w:snapToGrid w:val="0"/>
        <w:spacing w:line="560" w:lineRule="exact"/>
        <w:jc w:val="both"/>
        <w:rPr>
          <w:rFonts w:hint="eastAsia" w:ascii="仿宋" w:hAnsi="仿宋" w:eastAsia="仿宋" w:cs="仿宋"/>
          <w:bCs/>
          <w:kern w:val="44"/>
          <w:sz w:val="44"/>
          <w:szCs w:val="44"/>
          <w:lang w:val="en-US" w:eastAsia="zh-CN"/>
        </w:rPr>
      </w:pPr>
    </w:p>
    <w:p w14:paraId="0810E2A0">
      <w:pPr>
        <w:adjustRightInd w:val="0"/>
        <w:snapToGrid w:val="0"/>
        <w:spacing w:line="560" w:lineRule="exact"/>
        <w:jc w:val="center"/>
        <w:rPr>
          <w:rFonts w:hint="default" w:ascii="仿宋" w:hAnsi="仿宋" w:eastAsia="仿宋" w:cs="仿宋"/>
          <w:bCs/>
          <w:kern w:val="44"/>
          <w:sz w:val="44"/>
          <w:szCs w:val="44"/>
          <w:lang w:val="en-US" w:eastAsia="zh-CN"/>
        </w:rPr>
      </w:pPr>
      <w:r>
        <w:rPr>
          <w:rFonts w:hint="eastAsia" w:ascii="仿宋" w:hAnsi="仿宋" w:eastAsia="仿宋" w:cs="仿宋"/>
          <w:bCs/>
          <w:kern w:val="44"/>
          <w:sz w:val="44"/>
          <w:szCs w:val="44"/>
          <w:lang w:val="en-US" w:eastAsia="zh-CN"/>
        </w:rPr>
        <w:t>第五章 比选人要求</w:t>
      </w:r>
    </w:p>
    <w:p w14:paraId="4B38B0BE">
      <w:pPr>
        <w:keepNext w:val="0"/>
        <w:keepLines w:val="0"/>
        <w:pageBreakBefore w:val="0"/>
        <w:widowControl w:val="0"/>
        <w:kinsoku/>
        <w:wordWrap/>
        <w:overflowPunct/>
        <w:topLinePunct w:val="0"/>
        <w:autoSpaceDE/>
        <w:autoSpaceDN/>
        <w:bidi w:val="0"/>
        <w:spacing w:line="560" w:lineRule="exact"/>
        <w:textAlignment w:val="auto"/>
        <w:rPr>
          <w:rFonts w:hint="eastAsia" w:ascii="仿宋" w:hAnsi="仿宋" w:eastAsia="仿宋" w:cs="仿宋"/>
          <w:sz w:val="28"/>
          <w:szCs w:val="32"/>
        </w:rPr>
      </w:pPr>
    </w:p>
    <w:p w14:paraId="2D08410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一、安全目标制定及考核</w:t>
      </w:r>
    </w:p>
    <w:p w14:paraId="2D63990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1、协助制定集团年度安全生产目标，拟定年度安全工作计划，明确目标分解、实施、考核内容。</w:t>
      </w:r>
    </w:p>
    <w:p w14:paraId="2F822E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2、协助开展集团年度安全生产考核工作。</w:t>
      </w:r>
    </w:p>
    <w:p w14:paraId="5E100B3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二、安全生产制度建设</w:t>
      </w:r>
    </w:p>
    <w:p w14:paraId="1B70452E">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1、进一步完善集团公司安全生产管理制度，建立健全安全生产工作制度体系。</w:t>
      </w:r>
    </w:p>
    <w:p w14:paraId="3F2AF49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2、建立"一企一档"。通过收集企业的安全管理基础信息，建立完善的管理台账，并按不同行业进行分类汇总，以便及时掌握各企业的大致生产情况和安全风险点。</w:t>
      </w:r>
    </w:p>
    <w:p w14:paraId="15CE13C8">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val="en-US" w:eastAsia="zh-CN"/>
        </w:rPr>
      </w:pPr>
      <w:r>
        <w:rPr>
          <w:rFonts w:hint="eastAsia" w:ascii="仿宋" w:hAnsi="仿宋" w:eastAsia="仿宋" w:cs="仿宋"/>
          <w:sz w:val="28"/>
          <w:szCs w:val="32"/>
          <w:lang w:eastAsia="zh-CN"/>
        </w:rPr>
        <w:t>3、按照"1+ N "的模式建立健全集团公司《应急救援预案》。</w:t>
      </w:r>
    </w:p>
    <w:p w14:paraId="092D936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4、对集团体系的安全生产管理机构设置或专兼职安全生产管理人员配备提出建设性意见。</w:t>
      </w:r>
    </w:p>
    <w:p w14:paraId="22CECF8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三、安全生产督查检查</w:t>
      </w:r>
    </w:p>
    <w:p w14:paraId="4EA0F7C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1、常态化、系统化、全覆盖对集团公司下属单位、项目开展安全督查检查，发现工作不足及风险隐患，提出整改意见，指导并督促其整改落实到位。将排查整治和建章立制贯穿于督查检查全过程，指导下属单位提升安全管理水平，督导下属单位安全生产管理工作逐步规范化。</w:t>
      </w:r>
    </w:p>
    <w:p w14:paraId="0B946A7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2、对集团下属单位开展危险源辨识。提出安全管理工作对策和技术措施，汇编成册，形成体系。</w:t>
      </w:r>
    </w:p>
    <w:p w14:paraId="0D0CBFE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3、指导应急器材配备，并</w:t>
      </w:r>
      <w:r>
        <w:rPr>
          <w:rFonts w:hint="eastAsia" w:ascii="仿宋" w:hAnsi="仿宋" w:eastAsia="仿宋" w:cs="仿宋"/>
          <w:sz w:val="28"/>
          <w:szCs w:val="32"/>
          <w:lang w:val="en-US" w:eastAsia="zh-CN"/>
        </w:rPr>
        <w:t>检查集团下属单位对应急器材定期</w:t>
      </w:r>
      <w:r>
        <w:rPr>
          <w:rFonts w:hint="eastAsia" w:ascii="仿宋" w:hAnsi="仿宋" w:eastAsia="仿宋" w:cs="仿宋"/>
          <w:sz w:val="28"/>
          <w:szCs w:val="32"/>
          <w:lang w:eastAsia="zh-CN"/>
        </w:rPr>
        <w:t>检查、维护、保养</w:t>
      </w:r>
      <w:r>
        <w:rPr>
          <w:rFonts w:hint="eastAsia" w:ascii="仿宋" w:hAnsi="仿宋" w:eastAsia="仿宋" w:cs="仿宋"/>
          <w:sz w:val="28"/>
          <w:szCs w:val="32"/>
          <w:lang w:val="en-US" w:eastAsia="zh-CN"/>
        </w:rPr>
        <w:t>情况</w:t>
      </w:r>
      <w:r>
        <w:rPr>
          <w:rFonts w:hint="eastAsia" w:ascii="仿宋" w:hAnsi="仿宋" w:eastAsia="仿宋" w:cs="仿宋"/>
          <w:sz w:val="28"/>
          <w:szCs w:val="32"/>
          <w:lang w:eastAsia="zh-CN"/>
        </w:rPr>
        <w:t>。</w:t>
      </w:r>
    </w:p>
    <w:p w14:paraId="00F2E82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四、安全生产专项整治</w:t>
      </w:r>
    </w:p>
    <w:p w14:paraId="44F6B4C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val="en-US" w:eastAsia="zh-CN"/>
        </w:rPr>
        <w:t>配合集团公司</w:t>
      </w:r>
      <w:r>
        <w:rPr>
          <w:rFonts w:hint="eastAsia" w:ascii="仿宋" w:hAnsi="仿宋" w:eastAsia="仿宋" w:cs="仿宋"/>
          <w:sz w:val="28"/>
          <w:szCs w:val="32"/>
          <w:lang w:eastAsia="zh-CN"/>
        </w:rPr>
        <w:t>除按上级要求开展规定的安全生产主题活动外，结合集团安全生产下属工作具体实际，开展分行业、分领域、分类别的专项整治工作，每季度不少于一次。</w:t>
      </w:r>
    </w:p>
    <w:p w14:paraId="1506B65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五、安全生产教育培训</w:t>
      </w:r>
    </w:p>
    <w:p w14:paraId="7086FFB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 xml:space="preserve">1、协助制定集团年度安全生产教育培训计划，做到教育培训全覆盖。每半年至少组织一次集团公司层面的安全生产教育培训及演练。 </w:t>
      </w:r>
    </w:p>
    <w:p w14:paraId="784BA5DE">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2、及时了解掌握和获取新的安全法律法规、标准规范，解读新政策、新行动和相关活动，并将重点内容整理后提供给安全管理人员。</w:t>
      </w:r>
    </w:p>
    <w:p w14:paraId="47FA0C3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六、安全文化与档案管理</w:t>
      </w:r>
    </w:p>
    <w:p w14:paraId="285A727E">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1、协助开展集团安全文化建设，设立安全生产宣传栏、张贴安全画报，策划职业健康、安全生产月、夏季高温、消防日、冬季防火、安全知识竞赛等形式多样的安全文化活动。</w:t>
      </w:r>
    </w:p>
    <w:p w14:paraId="1483983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2、协助建立集团安全生产标准化档案。</w:t>
      </w:r>
    </w:p>
    <w:p w14:paraId="29F42BA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28"/>
          <w:szCs w:val="32"/>
          <w:lang w:eastAsia="zh-CN"/>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日常工作</w:t>
      </w:r>
    </w:p>
    <w:p w14:paraId="550F8817">
      <w:pPr>
        <w:adjustRightInd w:val="0"/>
        <w:snapToGrid w:val="0"/>
        <w:spacing w:line="560" w:lineRule="exact"/>
        <w:jc w:val="center"/>
        <w:rPr>
          <w:rFonts w:hint="eastAsia" w:ascii="仿宋" w:hAnsi="仿宋" w:eastAsia="仿宋" w:cs="仿宋"/>
          <w:bCs/>
          <w:kern w:val="44"/>
          <w:sz w:val="28"/>
          <w:szCs w:val="28"/>
        </w:rPr>
      </w:pPr>
      <w:r>
        <w:rPr>
          <w:rFonts w:hint="eastAsia" w:ascii="仿宋" w:hAnsi="仿宋" w:eastAsia="仿宋" w:cs="仿宋"/>
          <w:sz w:val="28"/>
          <w:szCs w:val="32"/>
          <w:lang w:val="en-US" w:eastAsia="zh-CN"/>
        </w:rPr>
        <w:t xml:space="preserve">    </w:t>
      </w:r>
      <w:r>
        <w:rPr>
          <w:rFonts w:hint="eastAsia" w:ascii="仿宋" w:hAnsi="仿宋" w:eastAsia="仿宋" w:cs="仿宋"/>
          <w:sz w:val="28"/>
          <w:szCs w:val="32"/>
          <w:lang w:eastAsia="zh-CN"/>
        </w:rPr>
        <w:t xml:space="preserve">派驻1名安全工程师至集团安全生产部提供常态化服务。配合、协助集团安全生产日常性工作。并就每月安全生产工作开展完成情况，撰写工作情况报告报集团公司领导及第三方安全服务单位负责人。     </w:t>
      </w:r>
    </w:p>
    <w:p w14:paraId="77F61049">
      <w:pPr>
        <w:adjustRightInd w:val="0"/>
        <w:snapToGrid w:val="0"/>
        <w:spacing w:line="560" w:lineRule="exact"/>
        <w:jc w:val="center"/>
        <w:rPr>
          <w:rFonts w:hint="eastAsia" w:ascii="Arial Unicode MS" w:hAnsi="Arial Unicode MS" w:eastAsia="Arial Unicode MS" w:cs="Arial Unicode MS"/>
          <w:bCs/>
          <w:kern w:val="44"/>
          <w:sz w:val="44"/>
          <w:szCs w:val="44"/>
        </w:rPr>
      </w:pPr>
    </w:p>
    <w:p w14:paraId="2F4AD5C0">
      <w:pPr>
        <w:adjustRightInd w:val="0"/>
        <w:snapToGrid w:val="0"/>
        <w:spacing w:line="560" w:lineRule="exact"/>
        <w:jc w:val="center"/>
        <w:rPr>
          <w:rFonts w:hint="eastAsia" w:ascii="Arial Unicode MS" w:hAnsi="Arial Unicode MS" w:eastAsia="Arial Unicode MS" w:cs="Arial Unicode MS"/>
          <w:bCs/>
          <w:kern w:val="44"/>
          <w:sz w:val="44"/>
          <w:szCs w:val="44"/>
        </w:rPr>
      </w:pPr>
    </w:p>
    <w:p w14:paraId="1B51C30F">
      <w:pPr>
        <w:adjustRightInd w:val="0"/>
        <w:snapToGrid w:val="0"/>
        <w:spacing w:line="560" w:lineRule="exact"/>
        <w:jc w:val="both"/>
        <w:rPr>
          <w:rFonts w:hint="eastAsia" w:ascii="Arial Unicode MS" w:hAnsi="Arial Unicode MS" w:eastAsia="Arial Unicode MS" w:cs="Arial Unicode MS"/>
          <w:bCs/>
          <w:kern w:val="44"/>
          <w:sz w:val="44"/>
          <w:szCs w:val="44"/>
        </w:rPr>
      </w:pPr>
    </w:p>
    <w:p w14:paraId="755F3C0A">
      <w:pPr>
        <w:pStyle w:val="33"/>
        <w:jc w:val="both"/>
        <w:rPr>
          <w:rFonts w:hint="eastAsia" w:ascii="宋体" w:hAnsi="宋体"/>
          <w:b/>
          <w:sz w:val="32"/>
          <w:szCs w:val="32"/>
        </w:rPr>
      </w:pPr>
    </w:p>
    <w:p w14:paraId="1AD108E6">
      <w:pPr>
        <w:widowControl/>
        <w:jc w:val="left"/>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E782CA-F05F-4585-ABB6-FE2C22B26C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009B10B-D241-4600-BB14-DA33E0DD23B5}"/>
  </w:font>
  <w:font w:name="仿宋">
    <w:panose1 w:val="02010609060101010101"/>
    <w:charset w:val="86"/>
    <w:family w:val="modern"/>
    <w:pitch w:val="default"/>
    <w:sig w:usb0="800002BF" w:usb1="38CF7CFA" w:usb2="00000016" w:usb3="00000000" w:csb0="00040001" w:csb1="00000000"/>
    <w:embedRegular r:id="rId3" w:fontKey="{DDB5E2A3-BBDC-43CF-8314-CCD85F0B1F74}"/>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embedRegular r:id="rId4" w:fontKey="{21581F64-77D0-43A7-A429-DC43C8E5E49C}"/>
  </w:font>
  <w:font w:name="仿宋_GB2312">
    <w:panose1 w:val="02010609030101010101"/>
    <w:charset w:val="86"/>
    <w:family w:val="modern"/>
    <w:pitch w:val="default"/>
    <w:sig w:usb0="00000001" w:usb1="080E0000" w:usb2="00000000" w:usb3="00000000" w:csb0="00040000" w:csb1="00000000"/>
    <w:embedRegular r:id="rId5" w:fontKey="{C9CF0F70-AC89-4C1E-8827-62636609540E}"/>
  </w:font>
  <w:font w:name="方正小标宋_GBK">
    <w:panose1 w:val="02000000000000000000"/>
    <w:charset w:val="86"/>
    <w:family w:val="auto"/>
    <w:pitch w:val="default"/>
    <w:sig w:usb0="A00002BF" w:usb1="38CF7CFA" w:usb2="00082016" w:usb3="00000000" w:csb0="00040001" w:csb1="00000000"/>
    <w:embedRegular r:id="rId6" w:fontKey="{1BF21188-326F-4514-8302-11E4AC9ECB63}"/>
  </w:font>
  <w:font w:name="华文中宋">
    <w:panose1 w:val="02010600040101010101"/>
    <w:charset w:val="86"/>
    <w:family w:val="auto"/>
    <w:pitch w:val="default"/>
    <w:sig w:usb0="00000287" w:usb1="080F0000" w:usb2="00000000" w:usb3="00000000" w:csb0="0004009F" w:csb1="DFD70000"/>
    <w:embedRegular r:id="rId7" w:fontKey="{37CDEC28-DBD1-492A-9415-4371E9469F66}"/>
  </w:font>
  <w:font w:name="华文仿宋">
    <w:panose1 w:val="02010600040101010101"/>
    <w:charset w:val="86"/>
    <w:family w:val="auto"/>
    <w:pitch w:val="default"/>
    <w:sig w:usb0="00000287" w:usb1="080F0000" w:usb2="00000000" w:usb3="00000000" w:csb0="0004009F" w:csb1="DFD70000"/>
    <w:embedRegular r:id="rId8" w:fontKey="{5D05022A-D000-420B-9CF5-30A7F6DF59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docPartObj>
        <w:docPartGallery w:val="autotext"/>
      </w:docPartObj>
    </w:sdtPr>
    <w:sdtContent>
      <w:p w14:paraId="10FBD635">
        <w:pPr>
          <w:pStyle w:val="14"/>
          <w:jc w:val="center"/>
        </w:pPr>
        <w:r>
          <w:fldChar w:fldCharType="begin"/>
        </w:r>
        <w:r>
          <w:instrText xml:space="preserve">PAGE   \* MERGEFORMAT</w:instrText>
        </w:r>
        <w:r>
          <w:fldChar w:fldCharType="separate"/>
        </w:r>
        <w:r>
          <w:rPr>
            <w:lang w:val="zh-CN"/>
          </w:rPr>
          <w:t>1</w:t>
        </w:r>
        <w:r>
          <w:fldChar w:fldCharType="end"/>
        </w:r>
      </w:p>
    </w:sdtContent>
  </w:sdt>
  <w:p w14:paraId="4906A228">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D21D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C0A35">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04417">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526A77">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526A77">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3E994">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D3E994">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E3BBD">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9657">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4C65">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D814D">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D8FC">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GWebUrl" w:val="http://oa.hxamc.com/weaver/weaver.file.FileDownloadForNews?uuid=f5bee995-c5c3-40ad-bc70-820571d63cc6&amp;fileid=129035&amp;type=document&amp;isofficeview=0"/>
  </w:docVars>
  <w:rsids>
    <w:rsidRoot w:val="6E8513F5"/>
    <w:rsid w:val="000273CC"/>
    <w:rsid w:val="00125861"/>
    <w:rsid w:val="004E2611"/>
    <w:rsid w:val="00577CA6"/>
    <w:rsid w:val="006275E2"/>
    <w:rsid w:val="00727D87"/>
    <w:rsid w:val="00942B50"/>
    <w:rsid w:val="00953D9C"/>
    <w:rsid w:val="0097492C"/>
    <w:rsid w:val="009A70F4"/>
    <w:rsid w:val="00CF1D6C"/>
    <w:rsid w:val="00EF7950"/>
    <w:rsid w:val="011A24F4"/>
    <w:rsid w:val="011E3478"/>
    <w:rsid w:val="01287101"/>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2FE4564"/>
    <w:rsid w:val="03041DBD"/>
    <w:rsid w:val="03174F3D"/>
    <w:rsid w:val="031E038B"/>
    <w:rsid w:val="032B6C3A"/>
    <w:rsid w:val="033201FC"/>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7563BF"/>
    <w:rsid w:val="04A62A1C"/>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80923AB"/>
    <w:rsid w:val="081E4F5F"/>
    <w:rsid w:val="0882284B"/>
    <w:rsid w:val="08C4574E"/>
    <w:rsid w:val="08C92C2E"/>
    <w:rsid w:val="08D35DAA"/>
    <w:rsid w:val="08ED1EAA"/>
    <w:rsid w:val="090F782C"/>
    <w:rsid w:val="093F333A"/>
    <w:rsid w:val="09715E3C"/>
    <w:rsid w:val="097737F5"/>
    <w:rsid w:val="09972933"/>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9A7F82"/>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7B04A3"/>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9E7D27"/>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8F04CED"/>
    <w:rsid w:val="19031D93"/>
    <w:rsid w:val="190F698A"/>
    <w:rsid w:val="193066BD"/>
    <w:rsid w:val="19474B83"/>
    <w:rsid w:val="1990791B"/>
    <w:rsid w:val="19925AEB"/>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93433"/>
    <w:rsid w:val="1CCE7468"/>
    <w:rsid w:val="1CD87093"/>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DF0FFB"/>
    <w:rsid w:val="20FA3253"/>
    <w:rsid w:val="211B128C"/>
    <w:rsid w:val="212B00D9"/>
    <w:rsid w:val="21470FA7"/>
    <w:rsid w:val="216A0B0A"/>
    <w:rsid w:val="2171021B"/>
    <w:rsid w:val="222F59A7"/>
    <w:rsid w:val="225B1B58"/>
    <w:rsid w:val="225E628C"/>
    <w:rsid w:val="226338A3"/>
    <w:rsid w:val="2265761B"/>
    <w:rsid w:val="227028F7"/>
    <w:rsid w:val="22810CD6"/>
    <w:rsid w:val="229C5B1A"/>
    <w:rsid w:val="22BE6D2B"/>
    <w:rsid w:val="22D93E0F"/>
    <w:rsid w:val="233429F8"/>
    <w:rsid w:val="23533F67"/>
    <w:rsid w:val="23612324"/>
    <w:rsid w:val="23722500"/>
    <w:rsid w:val="23812D86"/>
    <w:rsid w:val="239C3958"/>
    <w:rsid w:val="23A61C99"/>
    <w:rsid w:val="23D41D17"/>
    <w:rsid w:val="247E2C16"/>
    <w:rsid w:val="249266C1"/>
    <w:rsid w:val="24DD793C"/>
    <w:rsid w:val="24EB531E"/>
    <w:rsid w:val="24FA29B1"/>
    <w:rsid w:val="256B5E9E"/>
    <w:rsid w:val="259A582D"/>
    <w:rsid w:val="25E176D9"/>
    <w:rsid w:val="25F27417"/>
    <w:rsid w:val="25F34F3E"/>
    <w:rsid w:val="25FC0D64"/>
    <w:rsid w:val="26170C2C"/>
    <w:rsid w:val="26402C29"/>
    <w:rsid w:val="26432F9D"/>
    <w:rsid w:val="26865DB2"/>
    <w:rsid w:val="2692745C"/>
    <w:rsid w:val="26A526DC"/>
    <w:rsid w:val="26BD4A6B"/>
    <w:rsid w:val="270458ED"/>
    <w:rsid w:val="272C0707"/>
    <w:rsid w:val="27321A96"/>
    <w:rsid w:val="279C55DC"/>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C74C20"/>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9752F7"/>
    <w:rsid w:val="36BD11F9"/>
    <w:rsid w:val="371B60A2"/>
    <w:rsid w:val="37495343"/>
    <w:rsid w:val="37515F68"/>
    <w:rsid w:val="37647A49"/>
    <w:rsid w:val="37712AB1"/>
    <w:rsid w:val="378431AA"/>
    <w:rsid w:val="37A91900"/>
    <w:rsid w:val="37EA0AA2"/>
    <w:rsid w:val="380B5BE6"/>
    <w:rsid w:val="382014AF"/>
    <w:rsid w:val="388C54AA"/>
    <w:rsid w:val="38DD3867"/>
    <w:rsid w:val="38DE5291"/>
    <w:rsid w:val="3916393F"/>
    <w:rsid w:val="3926472A"/>
    <w:rsid w:val="394B239C"/>
    <w:rsid w:val="396226AE"/>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5756C"/>
    <w:rsid w:val="3F8D373A"/>
    <w:rsid w:val="3F8F5A05"/>
    <w:rsid w:val="3FD17C46"/>
    <w:rsid w:val="3FF54B72"/>
    <w:rsid w:val="40073668"/>
    <w:rsid w:val="402B1C7A"/>
    <w:rsid w:val="40363F4D"/>
    <w:rsid w:val="408E0B98"/>
    <w:rsid w:val="413B4B1F"/>
    <w:rsid w:val="4149060F"/>
    <w:rsid w:val="41531E07"/>
    <w:rsid w:val="416074D3"/>
    <w:rsid w:val="4163290A"/>
    <w:rsid w:val="416760A6"/>
    <w:rsid w:val="41760AA5"/>
    <w:rsid w:val="41967946"/>
    <w:rsid w:val="41BC68B2"/>
    <w:rsid w:val="41CE268F"/>
    <w:rsid w:val="41DB1CB4"/>
    <w:rsid w:val="41F076C9"/>
    <w:rsid w:val="41F60AD4"/>
    <w:rsid w:val="42311E19"/>
    <w:rsid w:val="42914579"/>
    <w:rsid w:val="429B2C49"/>
    <w:rsid w:val="42C54FDF"/>
    <w:rsid w:val="42D2382D"/>
    <w:rsid w:val="42EC2600"/>
    <w:rsid w:val="430A0B4C"/>
    <w:rsid w:val="43397517"/>
    <w:rsid w:val="43497172"/>
    <w:rsid w:val="434B6EF0"/>
    <w:rsid w:val="434F42F1"/>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4E495D"/>
    <w:rsid w:val="46790470"/>
    <w:rsid w:val="467D3251"/>
    <w:rsid w:val="469519CD"/>
    <w:rsid w:val="46E979A2"/>
    <w:rsid w:val="46FC3DF0"/>
    <w:rsid w:val="471F398D"/>
    <w:rsid w:val="47472F21"/>
    <w:rsid w:val="475C698F"/>
    <w:rsid w:val="47936A38"/>
    <w:rsid w:val="479A77C1"/>
    <w:rsid w:val="47AD2F03"/>
    <w:rsid w:val="47B24BA1"/>
    <w:rsid w:val="47E55BC7"/>
    <w:rsid w:val="47FE634A"/>
    <w:rsid w:val="4836117E"/>
    <w:rsid w:val="484F781F"/>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D94C2A"/>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A12EE"/>
    <w:rsid w:val="510E4700"/>
    <w:rsid w:val="51145BE4"/>
    <w:rsid w:val="51165E00"/>
    <w:rsid w:val="512155DC"/>
    <w:rsid w:val="51330760"/>
    <w:rsid w:val="514A5AAA"/>
    <w:rsid w:val="516C1418"/>
    <w:rsid w:val="5175733A"/>
    <w:rsid w:val="51AA6E02"/>
    <w:rsid w:val="51B90429"/>
    <w:rsid w:val="51C770FB"/>
    <w:rsid w:val="51E67581"/>
    <w:rsid w:val="52094164"/>
    <w:rsid w:val="520F496B"/>
    <w:rsid w:val="52866FBA"/>
    <w:rsid w:val="52A2537B"/>
    <w:rsid w:val="52B834F4"/>
    <w:rsid w:val="52DB4C0C"/>
    <w:rsid w:val="530F10A1"/>
    <w:rsid w:val="53691386"/>
    <w:rsid w:val="538452A3"/>
    <w:rsid w:val="53BE3F28"/>
    <w:rsid w:val="53EF6DA5"/>
    <w:rsid w:val="544B7B6A"/>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2747A9"/>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8D26AB1"/>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52528A"/>
    <w:rsid w:val="5F747934"/>
    <w:rsid w:val="5F872946"/>
    <w:rsid w:val="5F933F51"/>
    <w:rsid w:val="5FEC48FC"/>
    <w:rsid w:val="601654D5"/>
    <w:rsid w:val="60261490"/>
    <w:rsid w:val="603658A5"/>
    <w:rsid w:val="60940794"/>
    <w:rsid w:val="60A62FEE"/>
    <w:rsid w:val="60AA5873"/>
    <w:rsid w:val="60AC4BD0"/>
    <w:rsid w:val="60D9275F"/>
    <w:rsid w:val="615564D1"/>
    <w:rsid w:val="61565DA5"/>
    <w:rsid w:val="61B72597"/>
    <w:rsid w:val="61D770D4"/>
    <w:rsid w:val="61DE0EB4"/>
    <w:rsid w:val="62154B16"/>
    <w:rsid w:val="62324A13"/>
    <w:rsid w:val="628E7399"/>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47071F"/>
    <w:rsid w:val="66822308"/>
    <w:rsid w:val="66C73B2F"/>
    <w:rsid w:val="67027FFB"/>
    <w:rsid w:val="670A5668"/>
    <w:rsid w:val="671F0122"/>
    <w:rsid w:val="67720763"/>
    <w:rsid w:val="677A27ED"/>
    <w:rsid w:val="6799749C"/>
    <w:rsid w:val="67BD6B7E"/>
    <w:rsid w:val="680D70EE"/>
    <w:rsid w:val="68362271"/>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6FE12600"/>
    <w:rsid w:val="701B6B38"/>
    <w:rsid w:val="701F74FE"/>
    <w:rsid w:val="70362BD3"/>
    <w:rsid w:val="70446180"/>
    <w:rsid w:val="705F4C76"/>
    <w:rsid w:val="70622071"/>
    <w:rsid w:val="709A7A5C"/>
    <w:rsid w:val="709C0183"/>
    <w:rsid w:val="70B07280"/>
    <w:rsid w:val="70C745CA"/>
    <w:rsid w:val="70E24F2A"/>
    <w:rsid w:val="70ED18BA"/>
    <w:rsid w:val="7114067F"/>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797301"/>
    <w:rsid w:val="729A01E8"/>
    <w:rsid w:val="72E64B19"/>
    <w:rsid w:val="72E72D01"/>
    <w:rsid w:val="73274D6C"/>
    <w:rsid w:val="7344188A"/>
    <w:rsid w:val="734750AB"/>
    <w:rsid w:val="736305DA"/>
    <w:rsid w:val="73F7090D"/>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7EA4DBC"/>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B001259"/>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625EF"/>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ascii="Calibri" w:hAnsi="Calibri" w:eastAsia="仿宋" w:cs="Times New Roman"/>
      <w:bCs/>
      <w:kern w:val="44"/>
      <w:sz w:val="44"/>
      <w:szCs w:val="44"/>
    </w:rPr>
  </w:style>
  <w:style w:type="paragraph" w:styleId="5">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6">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正文首行缩进1"/>
    <w:basedOn w:val="1"/>
    <w:qFormat/>
    <w:uiPriority w:val="99"/>
    <w:pPr>
      <w:spacing w:after="120"/>
      <w:ind w:firstLine="420" w:firstLineChars="100"/>
    </w:pPr>
  </w:style>
  <w:style w:type="paragraph" w:styleId="8">
    <w:name w:val="Normal Indent"/>
    <w:basedOn w:val="1"/>
    <w:next w:val="1"/>
    <w:qFormat/>
    <w:uiPriority w:val="0"/>
    <w:pPr>
      <w:widowControl/>
      <w:ind w:firstLine="420"/>
      <w:jc w:val="left"/>
    </w:pPr>
    <w:rPr>
      <w:kern w:val="0"/>
      <w:sz w:val="20"/>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9"/>
    <w:next w:val="8"/>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105</Words>
  <Characters>108</Characters>
  <Lines>0</Lines>
  <Paragraphs>0</Paragraphs>
  <TotalTime>19</TotalTime>
  <ScaleCrop>false</ScaleCrop>
  <LinksUpToDate>false</LinksUpToDate>
  <CharactersWithSpaces>132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_盟</cp:lastModifiedBy>
  <cp:lastPrinted>2025-01-20T01:05:00Z</cp:lastPrinted>
  <dcterms:modified xsi:type="dcterms:W3CDTF">2025-01-22T08:39:04Z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C0DBA456DB654C47B18E45693437C868_13</vt:lpwstr>
  </property>
  <property fmtid="{D5CDD505-2E9C-101B-9397-08002B2CF9AE}" pid="4" name="KSOTemplateDocerSaveRecord">
    <vt:lpwstr>eyJoZGlkIjoiZTM4ZGNlM2IyNjJiNGY3NDllYjljMTJmNDQ4MTliNDciLCJ1c2VySWQiOiIyNjI5NTYyMTEifQ==</vt:lpwstr>
  </property>
</Properties>
</file>